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992C" w14:textId="66AB6AD3" w:rsidR="00B34198" w:rsidRPr="00B34198" w:rsidRDefault="00915E2F" w:rsidP="00B34198">
      <w:pPr>
        <w:pStyle w:val="Nadpis1"/>
        <w:rPr>
          <w:rFonts w:ascii="PT Sans" w:hAnsi="PT Sans"/>
          <w:lang w:val="cs-CZ"/>
        </w:rPr>
      </w:pPr>
      <w:r>
        <w:rPr>
          <w:rFonts w:ascii="PT Sans" w:hAnsi="PT Sans"/>
          <w:lang w:val="cs-CZ"/>
        </w:rPr>
        <w:t>17</w:t>
      </w:r>
      <w:r w:rsidR="00B34198" w:rsidRPr="00B34198">
        <w:rPr>
          <w:rFonts w:ascii="PT Sans" w:hAnsi="PT Sans"/>
          <w:lang w:val="cs-CZ"/>
        </w:rPr>
        <w:t>. června 202</w:t>
      </w:r>
      <w:r>
        <w:rPr>
          <w:rFonts w:ascii="PT Sans" w:hAnsi="PT Sans"/>
          <w:lang w:val="cs-CZ"/>
        </w:rPr>
        <w:t>2</w:t>
      </w:r>
      <w:r w:rsidR="00B34198" w:rsidRPr="00B34198">
        <w:rPr>
          <w:rFonts w:ascii="PT Sans" w:hAnsi="PT Sans"/>
          <w:lang w:val="cs-CZ"/>
        </w:rPr>
        <w:t xml:space="preserve">: Dnešek je Dnem daňové svobody! </w:t>
      </w:r>
    </w:p>
    <w:p w14:paraId="14940747" w14:textId="77777777" w:rsidR="00826640" w:rsidRPr="00A6457E" w:rsidRDefault="00FA52D6" w:rsidP="00B34198">
      <w:pPr>
        <w:rPr>
          <w:rFonts w:ascii="Times" w:eastAsia="Times New Roman" w:hAnsi="Times"/>
          <w:b/>
          <w:i/>
          <w:iCs/>
          <w:color w:val="FF0000"/>
          <w:lang w:val="cs-CZ" w:eastAsia="cs-CZ"/>
        </w:rPr>
      </w:pPr>
      <w:r w:rsidRPr="00B34198">
        <w:rPr>
          <w:rFonts w:ascii="Times" w:eastAsia="Times New Roman" w:hAnsi="Times"/>
          <w:i/>
          <w:iCs/>
          <w:color w:val="000000"/>
          <w:lang w:val="cs-CZ" w:eastAsia="cs-CZ"/>
        </w:rPr>
        <w:t xml:space="preserve">Liberální institut, tisková zpráva ze dne </w:t>
      </w:r>
      <w:r w:rsidR="00915E2F">
        <w:rPr>
          <w:rFonts w:ascii="Times" w:eastAsia="Times New Roman" w:hAnsi="Times"/>
          <w:i/>
          <w:iCs/>
          <w:color w:val="000000"/>
          <w:lang w:val="cs-CZ" w:eastAsia="cs-CZ"/>
        </w:rPr>
        <w:t>17</w:t>
      </w:r>
      <w:r w:rsidRPr="00B34198">
        <w:rPr>
          <w:rFonts w:ascii="Times" w:eastAsia="Times New Roman" w:hAnsi="Times"/>
          <w:i/>
          <w:iCs/>
          <w:color w:val="000000"/>
          <w:lang w:val="cs-CZ" w:eastAsia="cs-CZ"/>
        </w:rPr>
        <w:t xml:space="preserve">. </w:t>
      </w:r>
      <w:r w:rsidR="00B34198" w:rsidRPr="00B34198">
        <w:rPr>
          <w:rFonts w:ascii="Times" w:eastAsia="Times New Roman" w:hAnsi="Times"/>
          <w:i/>
          <w:iCs/>
          <w:color w:val="000000"/>
          <w:lang w:val="cs-CZ" w:eastAsia="cs-CZ"/>
        </w:rPr>
        <w:t>června</w:t>
      </w:r>
      <w:r w:rsidRPr="00B34198">
        <w:rPr>
          <w:rFonts w:ascii="Times" w:eastAsia="Times New Roman" w:hAnsi="Times"/>
          <w:i/>
          <w:iCs/>
          <w:color w:val="000000"/>
          <w:lang w:val="cs-CZ" w:eastAsia="cs-CZ"/>
        </w:rPr>
        <w:t xml:space="preserve"> 202</w:t>
      </w:r>
      <w:r w:rsidR="00915E2F">
        <w:rPr>
          <w:rFonts w:ascii="Times" w:eastAsia="Times New Roman" w:hAnsi="Times"/>
          <w:i/>
          <w:iCs/>
          <w:color w:val="000000"/>
          <w:lang w:val="cs-CZ" w:eastAsia="cs-CZ"/>
        </w:rPr>
        <w:t>2</w:t>
      </w:r>
      <w:r w:rsidR="00A6457E">
        <w:rPr>
          <w:rFonts w:ascii="Times" w:eastAsia="Times New Roman" w:hAnsi="Times"/>
          <w:i/>
          <w:iCs/>
          <w:color w:val="000000"/>
          <w:lang w:val="cs-CZ" w:eastAsia="cs-CZ"/>
        </w:rPr>
        <w:t xml:space="preserve">, </w:t>
      </w:r>
      <w:r w:rsidR="00A6457E" w:rsidRPr="00A6457E">
        <w:rPr>
          <w:rFonts w:ascii="Times" w:eastAsia="Times New Roman" w:hAnsi="Times"/>
          <w:b/>
          <w:i/>
          <w:iCs/>
          <w:color w:val="FF0000"/>
          <w:lang w:val="cs-CZ" w:eastAsia="cs-CZ"/>
        </w:rPr>
        <w:t>embargo do 17. června 2022</w:t>
      </w:r>
      <w:r w:rsidR="00A6457E">
        <w:rPr>
          <w:rFonts w:ascii="Times" w:eastAsia="Times New Roman" w:hAnsi="Times"/>
          <w:b/>
          <w:i/>
          <w:iCs/>
          <w:color w:val="FF0000"/>
          <w:lang w:val="cs-CZ" w:eastAsia="cs-CZ"/>
        </w:rPr>
        <w:t>, 9:30</w:t>
      </w:r>
    </w:p>
    <w:p w14:paraId="0DE7DD8D" w14:textId="77777777" w:rsidR="00826640" w:rsidRDefault="00826640" w:rsidP="00B34198">
      <w:pPr>
        <w:rPr>
          <w:rFonts w:ascii="Times" w:hAnsi="Times"/>
          <w:b/>
          <w:lang w:val="cs-CZ"/>
        </w:rPr>
      </w:pPr>
    </w:p>
    <w:p w14:paraId="132B2AE4" w14:textId="77777777" w:rsidR="00B34198" w:rsidRDefault="00B34198" w:rsidP="00F71C37">
      <w:pPr>
        <w:jc w:val="both"/>
        <w:rPr>
          <w:rFonts w:ascii="Times" w:hAnsi="Times"/>
          <w:b/>
          <w:lang w:val="cs-CZ"/>
        </w:rPr>
      </w:pPr>
      <w:r w:rsidRPr="00B34198">
        <w:rPr>
          <w:rFonts w:ascii="Times" w:hAnsi="Times"/>
          <w:b/>
          <w:lang w:val="cs-CZ"/>
        </w:rPr>
        <w:t>Celých 1</w:t>
      </w:r>
      <w:r w:rsidR="00915E2F">
        <w:rPr>
          <w:rFonts w:ascii="Times" w:hAnsi="Times"/>
          <w:b/>
          <w:lang w:val="cs-CZ"/>
        </w:rPr>
        <w:t>67</w:t>
      </w:r>
      <w:r w:rsidRPr="00B34198">
        <w:rPr>
          <w:rFonts w:ascii="Times" w:hAnsi="Times"/>
          <w:b/>
          <w:lang w:val="cs-CZ"/>
        </w:rPr>
        <w:t xml:space="preserve"> dní jsme v České republice pracovali a podnikali na pokrytí letošních veřejných výdajů. Teprve od dnešního dne začínáme vydělávat sami na sebe. Slavíme totiž Den daňové svobody, pomyslný den, od kterého máme vůči státu splněnu svou daňovou povinnost.</w:t>
      </w:r>
      <w:r>
        <w:rPr>
          <w:rFonts w:ascii="Times" w:hAnsi="Times"/>
          <w:b/>
          <w:lang w:val="cs-CZ"/>
        </w:rPr>
        <w:t xml:space="preserve"> </w:t>
      </w:r>
    </w:p>
    <w:p w14:paraId="7A1916EF" w14:textId="6410093C" w:rsidR="00B34198" w:rsidRPr="00A6457E" w:rsidRDefault="00A6457E" w:rsidP="00A6457E">
      <w:pPr>
        <w:spacing w:before="375" w:after="375"/>
        <w:rPr>
          <w:rFonts w:ascii="Times" w:hAnsi="Times"/>
          <w:color w:val="000000"/>
          <w:lang w:val="cs-CZ" w:eastAsia="cs-CZ"/>
        </w:rPr>
      </w:pPr>
      <w:r w:rsidRPr="00FA52D6">
        <w:rPr>
          <w:rFonts w:ascii="Times" w:hAnsi="Times"/>
          <w:i/>
          <w:color w:val="000000"/>
          <w:lang w:val="cs-CZ" w:eastAsia="cs-CZ"/>
        </w:rPr>
        <w:t>„</w:t>
      </w:r>
      <w:r>
        <w:rPr>
          <w:rFonts w:ascii="Times" w:hAnsi="Times"/>
          <w:i/>
          <w:color w:val="000000"/>
          <w:lang w:val="cs-CZ" w:eastAsia="cs-CZ"/>
        </w:rPr>
        <w:t>Ve dvou letech koronavirové pandemie</w:t>
      </w:r>
      <w:r w:rsidRPr="00FA52D6">
        <w:rPr>
          <w:rFonts w:ascii="Times" w:hAnsi="Times"/>
          <w:i/>
          <w:color w:val="000000"/>
          <w:lang w:val="cs-CZ" w:eastAsia="cs-CZ"/>
        </w:rPr>
        <w:t xml:space="preserve"> </w:t>
      </w:r>
      <w:r>
        <w:rPr>
          <w:rFonts w:ascii="Times" w:hAnsi="Times"/>
          <w:i/>
          <w:color w:val="000000"/>
          <w:lang w:val="cs-CZ" w:eastAsia="cs-CZ"/>
        </w:rPr>
        <w:t xml:space="preserve">zažila Česká republika dva daňově nejméně svobodné roky a bohužel jsme se posunuli do </w:t>
      </w:r>
      <w:r w:rsidR="00E91F5D">
        <w:rPr>
          <w:rFonts w:ascii="Times" w:hAnsi="Times"/>
          <w:i/>
          <w:color w:val="000000"/>
          <w:lang w:val="cs-CZ" w:eastAsia="cs-CZ"/>
        </w:rPr>
        <w:t>‚nového normálu‘</w:t>
      </w:r>
      <w:r>
        <w:rPr>
          <w:rFonts w:ascii="Times" w:hAnsi="Times"/>
          <w:i/>
          <w:color w:val="000000"/>
          <w:lang w:val="cs-CZ" w:eastAsia="cs-CZ"/>
        </w:rPr>
        <w:t>, kdy podle všeho budou stamiliardové schodky zcela běžné.</w:t>
      </w:r>
      <w:r w:rsidRPr="00FA52D6">
        <w:rPr>
          <w:rFonts w:ascii="Times" w:hAnsi="Times"/>
          <w:i/>
          <w:color w:val="000000"/>
          <w:lang w:val="cs-CZ" w:eastAsia="cs-CZ"/>
        </w:rPr>
        <w:t xml:space="preserve"> </w:t>
      </w:r>
      <w:r>
        <w:rPr>
          <w:rFonts w:ascii="Times" w:hAnsi="Times"/>
          <w:i/>
          <w:color w:val="000000"/>
          <w:lang w:val="cs-CZ" w:eastAsia="cs-CZ"/>
        </w:rPr>
        <w:t>Nová vláda fiskální situaci zdědila, nelze ji proto za pozdní Den daňové svobody letos kritizovat, uvidíme, jak se k tomu postaví v dalších letech</w:t>
      </w:r>
      <w:r w:rsidR="00E91F5D">
        <w:rPr>
          <w:rFonts w:ascii="Times" w:hAnsi="Times"/>
          <w:i/>
          <w:color w:val="000000"/>
          <w:lang w:val="cs-CZ" w:eastAsia="cs-CZ"/>
        </w:rPr>
        <w:t>. Můžeme ji ale kritizovat za další navyšování schodku, např. v podobě netestovaných dávek,</w:t>
      </w:r>
      <w:r w:rsidRPr="00FA52D6">
        <w:rPr>
          <w:rFonts w:ascii="Times" w:hAnsi="Times"/>
          <w:i/>
          <w:color w:val="000000"/>
          <w:lang w:val="cs-CZ" w:eastAsia="cs-CZ"/>
        </w:rPr>
        <w:t xml:space="preserve">“ </w:t>
      </w:r>
      <w:r w:rsidRPr="00FA52D6">
        <w:rPr>
          <w:rFonts w:ascii="Times" w:hAnsi="Times"/>
          <w:color w:val="000000"/>
          <w:lang w:val="cs-CZ" w:eastAsia="cs-CZ"/>
        </w:rPr>
        <w:t xml:space="preserve">komentuje letošní </w:t>
      </w:r>
      <w:r w:rsidRPr="008A6A66">
        <w:rPr>
          <w:rFonts w:ascii="Times" w:hAnsi="Times"/>
          <w:color w:val="000000"/>
          <w:lang w:val="cs-CZ" w:eastAsia="cs-CZ"/>
        </w:rPr>
        <w:t>termín</w:t>
      </w:r>
      <w:r w:rsidRPr="003C51F7">
        <w:rPr>
          <w:rFonts w:ascii="Times" w:hAnsi="Times"/>
          <w:b/>
          <w:color w:val="000000"/>
          <w:lang w:val="cs-CZ" w:eastAsia="cs-CZ"/>
        </w:rPr>
        <w:t xml:space="preserve"> ředitel Liberálního institutu Martin Pánek</w:t>
      </w:r>
      <w:r w:rsidRPr="00FA52D6">
        <w:rPr>
          <w:rFonts w:ascii="Times" w:hAnsi="Times"/>
          <w:color w:val="000000"/>
          <w:lang w:val="cs-CZ" w:eastAsia="cs-CZ"/>
        </w:rPr>
        <w:t>.</w:t>
      </w:r>
      <w:r>
        <w:rPr>
          <w:rFonts w:ascii="Times" w:hAnsi="Times"/>
          <w:color w:val="000000"/>
          <w:lang w:val="cs-CZ" w:eastAsia="cs-CZ"/>
        </w:rPr>
        <w:t xml:space="preserve"> </w:t>
      </w:r>
      <w:r w:rsidRPr="003C51F7">
        <w:rPr>
          <w:rFonts w:ascii="Times" w:hAnsi="Times"/>
          <w:i/>
          <w:color w:val="000000"/>
          <w:lang w:val="cs-CZ" w:eastAsia="cs-CZ"/>
        </w:rPr>
        <w:t>„</w:t>
      </w:r>
      <w:r>
        <w:rPr>
          <w:rFonts w:ascii="Times" w:hAnsi="Times"/>
          <w:i/>
          <w:color w:val="000000"/>
          <w:lang w:val="cs-CZ" w:eastAsia="cs-CZ"/>
        </w:rPr>
        <w:t>Termín Dne daňové svobody v naší metodice také negativně ovlivňuje válka na Ukrajině</w:t>
      </w:r>
      <w:r w:rsidRPr="003C51F7">
        <w:rPr>
          <w:rFonts w:ascii="Times" w:hAnsi="Times"/>
          <w:i/>
          <w:color w:val="000000"/>
          <w:lang w:val="cs-CZ" w:eastAsia="cs-CZ"/>
        </w:rPr>
        <w:t>,“</w:t>
      </w:r>
      <w:r>
        <w:rPr>
          <w:rFonts w:ascii="Times" w:hAnsi="Times"/>
          <w:color w:val="000000"/>
          <w:lang w:val="cs-CZ" w:eastAsia="cs-CZ"/>
        </w:rPr>
        <w:t xml:space="preserve"> dodává.</w:t>
      </w:r>
    </w:p>
    <w:p w14:paraId="2F91D22D" w14:textId="77777777" w:rsidR="00B34198" w:rsidRDefault="00A6457E" w:rsidP="00F71C37">
      <w:pPr>
        <w:jc w:val="both"/>
        <w:rPr>
          <w:rFonts w:ascii="Times" w:hAnsi="Times"/>
          <w:lang w:val="cs-CZ"/>
        </w:rPr>
      </w:pPr>
      <w:r>
        <w:rPr>
          <w:rFonts w:ascii="Times" w:hAnsi="Times"/>
          <w:lang w:val="cs-CZ"/>
        </w:rPr>
        <w:t>Na datum Dne daňové svobody má samozřejmě vliv pandemie koronaviru, k níž jsme se obšírně vyjadřovali.</w:t>
      </w:r>
      <w:r w:rsidR="00A67A27">
        <w:rPr>
          <w:rFonts w:ascii="Times" w:hAnsi="Times"/>
          <w:lang w:val="cs-CZ"/>
        </w:rPr>
        <w:t xml:space="preserve"> </w:t>
      </w:r>
      <w:r>
        <w:rPr>
          <w:rFonts w:ascii="Times" w:hAnsi="Times"/>
          <w:lang w:val="cs-CZ"/>
        </w:rPr>
        <w:t xml:space="preserve">Avšak v letošním roce už nemá přímý vliv jako v uplynulých dvou letech, spíš nastavila nový fiskální normál. Průměrný Den daňové svobody v zemích OECD se posunul o téměř 9 dní dále, v ČR pak o tři týdny. </w:t>
      </w:r>
      <w:r w:rsidR="00A67A27">
        <w:rPr>
          <w:rFonts w:ascii="Times" w:hAnsi="Times"/>
          <w:lang w:val="cs-CZ"/>
        </w:rPr>
        <w:t>To není akceptovatelné, státní rozpočet pak nemá kde brát na pomoc</w:t>
      </w:r>
      <w:r w:rsidR="00915E2F">
        <w:rPr>
          <w:rFonts w:ascii="Times" w:hAnsi="Times"/>
          <w:lang w:val="cs-CZ"/>
        </w:rPr>
        <w:t xml:space="preserve"> Ukrajin</w:t>
      </w:r>
      <w:r w:rsidR="00A67A27">
        <w:rPr>
          <w:rFonts w:ascii="Times" w:hAnsi="Times"/>
          <w:lang w:val="cs-CZ"/>
        </w:rPr>
        <w:t>ě</w:t>
      </w:r>
      <w:r w:rsidR="00915E2F">
        <w:rPr>
          <w:rFonts w:ascii="Times" w:hAnsi="Times"/>
          <w:lang w:val="cs-CZ"/>
        </w:rPr>
        <w:t xml:space="preserve">, </w:t>
      </w:r>
      <w:r w:rsidR="00A67A27">
        <w:rPr>
          <w:rFonts w:ascii="Times" w:hAnsi="Times"/>
          <w:lang w:val="cs-CZ"/>
        </w:rPr>
        <w:t xml:space="preserve">na sociální politiku v době vysoké inflace (k níž expanzivní rozpočty přispěly) atd. </w:t>
      </w:r>
    </w:p>
    <w:p w14:paraId="0838CBDD" w14:textId="77777777" w:rsidR="00381EB1" w:rsidRDefault="00381EB1" w:rsidP="00381EB1">
      <w:pPr>
        <w:rPr>
          <w:rFonts w:ascii="PT Sans" w:hAnsi="PT Sans"/>
          <w:b/>
          <w:bCs/>
          <w:lang w:val="cs-CZ" w:eastAsia="cs-CZ"/>
        </w:rPr>
      </w:pPr>
    </w:p>
    <w:p w14:paraId="05F183A7" w14:textId="77777777" w:rsidR="00381EB1" w:rsidRPr="00EB41FD" w:rsidRDefault="00381EB1" w:rsidP="00A67A27">
      <w:pPr>
        <w:keepNext/>
        <w:rPr>
          <w:rFonts w:ascii="PT Sans" w:hAnsi="PT Sans"/>
          <w:lang w:val="cs-CZ"/>
        </w:rPr>
      </w:pPr>
      <w:r w:rsidRPr="00EB41FD">
        <w:rPr>
          <w:rFonts w:ascii="PT Sans" w:hAnsi="PT Sans"/>
          <w:b/>
          <w:bCs/>
          <w:lang w:val="cs-CZ" w:eastAsia="cs-CZ"/>
        </w:rPr>
        <w:lastRenderedPageBreak/>
        <w:t>Graf: DEN DAŇOVÉ SVOBODY V ČESKÉ REPUBLICE (201</w:t>
      </w:r>
      <w:r w:rsidR="00915E2F">
        <w:rPr>
          <w:rFonts w:ascii="PT Sans" w:hAnsi="PT Sans"/>
          <w:b/>
          <w:bCs/>
          <w:lang w:val="cs-CZ" w:eastAsia="cs-CZ"/>
        </w:rPr>
        <w:t>3</w:t>
      </w:r>
      <w:r w:rsidRPr="00EB41FD">
        <w:rPr>
          <w:rFonts w:ascii="PT Sans" w:hAnsi="PT Sans"/>
          <w:b/>
          <w:bCs/>
          <w:lang w:val="cs-CZ" w:eastAsia="cs-CZ"/>
        </w:rPr>
        <w:t>–202</w:t>
      </w:r>
      <w:r w:rsidR="00915E2F">
        <w:rPr>
          <w:rFonts w:ascii="PT Sans" w:hAnsi="PT Sans"/>
          <w:b/>
          <w:bCs/>
          <w:lang w:val="cs-CZ" w:eastAsia="cs-CZ"/>
        </w:rPr>
        <w:t>2</w:t>
      </w:r>
      <w:r w:rsidRPr="00EB41FD">
        <w:rPr>
          <w:rFonts w:ascii="PT Sans" w:hAnsi="PT Sans"/>
          <w:b/>
          <w:bCs/>
          <w:lang w:val="cs-CZ" w:eastAsia="cs-CZ"/>
        </w:rPr>
        <w:t>)</w:t>
      </w:r>
    </w:p>
    <w:p w14:paraId="1D545125" w14:textId="77777777" w:rsidR="00381EB1" w:rsidRDefault="00915E2F" w:rsidP="00381EB1">
      <w:pPr>
        <w:jc w:val="center"/>
        <w:rPr>
          <w:rFonts w:ascii="Times" w:hAnsi="Times"/>
          <w:lang w:val="cs-CZ"/>
        </w:rPr>
      </w:pPr>
      <w:r>
        <w:rPr>
          <w:noProof/>
          <w:lang w:val="cs-CZ" w:eastAsia="cs-CZ"/>
        </w:rPr>
        <w:drawing>
          <wp:inline distT="0" distB="0" distL="0" distR="0" wp14:anchorId="063AD21D" wp14:editId="533DB442">
            <wp:extent cx="5248894" cy="3811980"/>
            <wp:effectExtent l="0" t="0" r="9525" b="17145"/>
            <wp:docPr id="1" name="Graf 1">
              <a:extLst xmlns:a="http://schemas.openxmlformats.org/drawingml/2006/main">
                <a:ext uri="{FF2B5EF4-FFF2-40B4-BE49-F238E27FC236}">
                  <a16:creationId xmlns:a16="http://schemas.microsoft.com/office/drawing/2014/main" id="{F63D83C8-8C16-459E-965A-D885CCCF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B9CA1D" w14:textId="77777777" w:rsidR="00A67A27" w:rsidRDefault="00A67A27" w:rsidP="001A52B7">
      <w:pPr>
        <w:jc w:val="both"/>
        <w:rPr>
          <w:rFonts w:ascii="Times" w:hAnsi="Times"/>
          <w:i/>
          <w:lang w:val="cs-CZ"/>
        </w:rPr>
      </w:pPr>
    </w:p>
    <w:p w14:paraId="608B93EC" w14:textId="2C5FE3C2" w:rsidR="001A52B7" w:rsidRDefault="001A52B7" w:rsidP="001A52B7">
      <w:pPr>
        <w:jc w:val="both"/>
        <w:rPr>
          <w:rFonts w:ascii="Times" w:hAnsi="Times"/>
          <w:lang w:val="cs-CZ"/>
        </w:rPr>
      </w:pPr>
      <w:r w:rsidRPr="001A52B7">
        <w:rPr>
          <w:rFonts w:ascii="Times" w:hAnsi="Times"/>
          <w:i/>
          <w:lang w:val="cs-CZ"/>
        </w:rPr>
        <w:t>„</w:t>
      </w:r>
      <w:r w:rsidR="00197679">
        <w:rPr>
          <w:rFonts w:ascii="Times" w:hAnsi="Times"/>
          <w:i/>
          <w:lang w:val="cs-CZ"/>
        </w:rPr>
        <w:t>Při pohledu na průběžnou bilanci státního rozpočtu ČR v roce 2022 vidíme podobný trend, jako v </w:t>
      </w:r>
      <w:r w:rsidR="00E91F5D">
        <w:rPr>
          <w:rFonts w:ascii="Times" w:hAnsi="Times"/>
          <w:i/>
          <w:lang w:val="cs-CZ"/>
        </w:rPr>
        <w:t>‚</w:t>
      </w:r>
      <w:proofErr w:type="spellStart"/>
      <w:r w:rsidR="00E91F5D">
        <w:rPr>
          <w:rFonts w:ascii="Times" w:hAnsi="Times"/>
          <w:i/>
          <w:lang w:val="cs-CZ"/>
        </w:rPr>
        <w:t>covidových</w:t>
      </w:r>
      <w:proofErr w:type="spellEnd"/>
      <w:r w:rsidR="00E91F5D">
        <w:rPr>
          <w:rFonts w:ascii="Times" w:hAnsi="Times"/>
          <w:i/>
          <w:lang w:val="cs-CZ"/>
        </w:rPr>
        <w:t>‘</w:t>
      </w:r>
      <w:r w:rsidR="00197679">
        <w:rPr>
          <w:rFonts w:ascii="Times" w:hAnsi="Times"/>
          <w:i/>
          <w:lang w:val="cs-CZ"/>
        </w:rPr>
        <w:t xml:space="preserve"> letech 2020 a 2021, kdy předchozí vláda představila řadu</w:t>
      </w:r>
      <w:r w:rsidR="00E91F5D">
        <w:rPr>
          <w:rFonts w:ascii="Times" w:hAnsi="Times"/>
          <w:i/>
          <w:lang w:val="cs-CZ"/>
        </w:rPr>
        <w:t xml:space="preserve"> balíčku na podporu ekonomiky. A </w:t>
      </w:r>
      <w:r w:rsidR="00197679">
        <w:rPr>
          <w:rFonts w:ascii="Times" w:hAnsi="Times"/>
          <w:i/>
          <w:lang w:val="cs-CZ"/>
        </w:rPr>
        <w:t xml:space="preserve">přestože v letošním roce pandemie zatím tvrdě neudeřila, je průběžný schodek státního rozpočtu za prvních pět měsíců hospodaření větší, než byl v roce 2020. Stupňují se tak obavy, že nové </w:t>
      </w:r>
      <w:r w:rsidR="00E91F5D">
        <w:rPr>
          <w:rFonts w:ascii="Times" w:hAnsi="Times"/>
          <w:i/>
          <w:lang w:val="cs-CZ"/>
        </w:rPr>
        <w:t>‚</w:t>
      </w:r>
      <w:r w:rsidR="00197679">
        <w:rPr>
          <w:rFonts w:ascii="Times" w:hAnsi="Times"/>
          <w:i/>
          <w:lang w:val="cs-CZ"/>
        </w:rPr>
        <w:t>mimořádné</w:t>
      </w:r>
      <w:r w:rsidR="00E91F5D">
        <w:rPr>
          <w:rFonts w:ascii="Times" w:hAnsi="Times"/>
          <w:i/>
          <w:lang w:val="cs-CZ"/>
        </w:rPr>
        <w:t>‘</w:t>
      </w:r>
      <w:r w:rsidR="00197679">
        <w:rPr>
          <w:rFonts w:ascii="Times" w:hAnsi="Times"/>
          <w:i/>
          <w:lang w:val="cs-CZ"/>
        </w:rPr>
        <w:t xml:space="preserve"> rozpočtové výdaje představené v době pandemie bude velmi těžké zrušit, což vytvoří tlak na české veřejné finance</w:t>
      </w:r>
      <w:r w:rsidR="00E91F5D">
        <w:rPr>
          <w:rFonts w:ascii="Times" w:hAnsi="Times"/>
          <w:i/>
          <w:lang w:val="cs-CZ"/>
        </w:rPr>
        <w:t>,</w:t>
      </w:r>
      <w:r w:rsidR="0005579E">
        <w:rPr>
          <w:rFonts w:ascii="Times" w:hAnsi="Times"/>
          <w:i/>
          <w:lang w:val="cs-CZ"/>
        </w:rPr>
        <w:t xml:space="preserve">“ </w:t>
      </w:r>
      <w:r w:rsidRPr="001A52B7">
        <w:rPr>
          <w:rFonts w:ascii="Times" w:hAnsi="Times"/>
          <w:lang w:val="cs-CZ"/>
        </w:rPr>
        <w:t xml:space="preserve">komentuje vládní hospodaření </w:t>
      </w:r>
      <w:r w:rsidR="00915E2F">
        <w:rPr>
          <w:rFonts w:ascii="Times" w:hAnsi="Times"/>
          <w:b/>
          <w:lang w:val="cs-CZ"/>
        </w:rPr>
        <w:t xml:space="preserve">hlavní ekonom finanční skupiny </w:t>
      </w:r>
      <w:proofErr w:type="spellStart"/>
      <w:r w:rsidR="00915E2F">
        <w:rPr>
          <w:rFonts w:ascii="Times" w:hAnsi="Times"/>
          <w:b/>
          <w:lang w:val="cs-CZ"/>
        </w:rPr>
        <w:t>Roklen</w:t>
      </w:r>
      <w:proofErr w:type="spellEnd"/>
      <w:r w:rsidRPr="001A52B7">
        <w:rPr>
          <w:rFonts w:ascii="Times" w:hAnsi="Times"/>
          <w:b/>
          <w:lang w:val="cs-CZ"/>
        </w:rPr>
        <w:t xml:space="preserve"> </w:t>
      </w:r>
      <w:r w:rsidR="00915E2F">
        <w:rPr>
          <w:rFonts w:ascii="Times" w:hAnsi="Times"/>
          <w:b/>
          <w:lang w:val="cs-CZ"/>
        </w:rPr>
        <w:t>Pavel Peterka</w:t>
      </w:r>
      <w:r w:rsidRPr="001A52B7">
        <w:rPr>
          <w:rFonts w:ascii="Times" w:hAnsi="Times"/>
          <w:lang w:val="cs-CZ"/>
        </w:rPr>
        <w:t>.</w:t>
      </w:r>
      <w:r w:rsidR="0005579E">
        <w:rPr>
          <w:rFonts w:ascii="Times" w:hAnsi="Times"/>
          <w:lang w:val="cs-CZ"/>
        </w:rPr>
        <w:t xml:space="preserve"> </w:t>
      </w:r>
      <w:r w:rsidR="00E91F5D">
        <w:rPr>
          <w:rFonts w:ascii="Times" w:hAnsi="Times"/>
          <w:lang w:val="cs-CZ"/>
        </w:rPr>
        <w:t>„</w:t>
      </w:r>
      <w:r w:rsidR="0005579E">
        <w:rPr>
          <w:rFonts w:ascii="Times" w:hAnsi="Times"/>
          <w:i/>
          <w:lang w:val="cs-CZ"/>
        </w:rPr>
        <w:t>Navíc lze očekávat, že ve stínu vysokého růstu cen bude nová vláda v letošním i příštím roce představovat další balíčky na podporu domácností a ekonomiky. To dále odsune Den daňové svobody</w:t>
      </w:r>
      <w:r w:rsidR="00E91F5D">
        <w:rPr>
          <w:rFonts w:ascii="Times" w:hAnsi="Times"/>
          <w:i/>
          <w:lang w:val="cs-CZ"/>
        </w:rPr>
        <w:t>,</w:t>
      </w:r>
      <w:r w:rsidR="0005579E">
        <w:rPr>
          <w:rFonts w:ascii="Times" w:hAnsi="Times"/>
          <w:i/>
          <w:lang w:val="cs-CZ"/>
        </w:rPr>
        <w:t xml:space="preserve">“ </w:t>
      </w:r>
      <w:r w:rsidR="0005579E">
        <w:rPr>
          <w:rFonts w:ascii="Times" w:hAnsi="Times"/>
          <w:color w:val="000000"/>
          <w:lang w:val="cs-CZ" w:eastAsia="cs-CZ"/>
        </w:rPr>
        <w:t>dodává.</w:t>
      </w:r>
    </w:p>
    <w:p w14:paraId="65B6B952" w14:textId="77777777" w:rsidR="001A52B7" w:rsidRPr="001A52B7" w:rsidRDefault="001A52B7" w:rsidP="001A52B7">
      <w:pPr>
        <w:rPr>
          <w:rFonts w:ascii="Times" w:hAnsi="Times"/>
          <w:lang w:val="cs-CZ"/>
        </w:rPr>
      </w:pPr>
    </w:p>
    <w:p w14:paraId="2DF070E8" w14:textId="77777777" w:rsidR="00381EB1" w:rsidRPr="00381EB1" w:rsidRDefault="00381EB1" w:rsidP="009152A2">
      <w:pPr>
        <w:jc w:val="both"/>
        <w:rPr>
          <w:rFonts w:ascii="Times" w:hAnsi="Times"/>
          <w:lang w:val="cs-CZ"/>
        </w:rPr>
      </w:pPr>
      <w:r w:rsidRPr="00381EB1">
        <w:rPr>
          <w:rFonts w:ascii="Times" w:hAnsi="Times"/>
          <w:lang w:val="cs-CZ"/>
        </w:rPr>
        <w:t>V mezinárodním kontextu</w:t>
      </w:r>
      <w:r w:rsidR="00915E2F">
        <w:rPr>
          <w:rFonts w:ascii="Times" w:hAnsi="Times"/>
          <w:lang w:val="cs-CZ"/>
        </w:rPr>
        <w:t xml:space="preserve"> zemí OECD</w:t>
      </w:r>
      <w:r w:rsidRPr="00381EB1">
        <w:rPr>
          <w:rFonts w:ascii="Times" w:hAnsi="Times"/>
          <w:lang w:val="cs-CZ"/>
        </w:rPr>
        <w:t xml:space="preserve"> </w:t>
      </w:r>
      <w:r w:rsidR="00915E2F">
        <w:rPr>
          <w:rFonts w:ascii="Times" w:hAnsi="Times"/>
          <w:lang w:val="cs-CZ"/>
        </w:rPr>
        <w:t>je Česká republika přesně v polovině pole</w:t>
      </w:r>
      <w:r w:rsidR="00384745">
        <w:rPr>
          <w:rFonts w:ascii="Times" w:hAnsi="Times"/>
          <w:lang w:val="cs-CZ"/>
        </w:rPr>
        <w:t xml:space="preserve">. </w:t>
      </w:r>
      <w:r w:rsidRPr="00381EB1">
        <w:rPr>
          <w:rFonts w:ascii="Times" w:hAnsi="Times"/>
          <w:lang w:val="cs-CZ"/>
        </w:rPr>
        <w:t xml:space="preserve">Česká republika </w:t>
      </w:r>
      <w:r w:rsidR="00915E2F">
        <w:rPr>
          <w:rFonts w:ascii="Times" w:hAnsi="Times"/>
          <w:lang w:val="cs-CZ"/>
        </w:rPr>
        <w:t>má dlouhodobě Den daňové svobody před</w:t>
      </w:r>
      <w:r w:rsidR="00384745">
        <w:rPr>
          <w:rFonts w:ascii="Times" w:hAnsi="Times"/>
          <w:lang w:val="cs-CZ"/>
        </w:rPr>
        <w:t xml:space="preserve"> průměrem eurozóny</w:t>
      </w:r>
      <w:r w:rsidRPr="00381EB1">
        <w:rPr>
          <w:rFonts w:ascii="Times" w:hAnsi="Times"/>
          <w:lang w:val="cs-CZ"/>
        </w:rPr>
        <w:t xml:space="preserve"> (</w:t>
      </w:r>
      <w:r w:rsidR="00915E2F">
        <w:rPr>
          <w:rFonts w:ascii="Times" w:hAnsi="Times"/>
          <w:lang w:val="cs-CZ"/>
        </w:rPr>
        <w:t>29. 6</w:t>
      </w:r>
      <w:r w:rsidRPr="00381EB1">
        <w:rPr>
          <w:rFonts w:ascii="Times" w:hAnsi="Times"/>
          <w:lang w:val="cs-CZ"/>
        </w:rPr>
        <w:t xml:space="preserve">.), což je výsledek, jenž má relevanci i ve světle neutuchajících úvah o přijímání společné evropské měny. </w:t>
      </w:r>
      <w:r w:rsidR="00E96990">
        <w:rPr>
          <w:rFonts w:ascii="Times" w:hAnsi="Times"/>
          <w:lang w:val="cs-CZ"/>
        </w:rPr>
        <w:t xml:space="preserve">Medián OECD je sice náš Den daňové svobody, avšak </w:t>
      </w:r>
      <w:r w:rsidR="00384745">
        <w:rPr>
          <w:rFonts w:ascii="Times" w:hAnsi="Times"/>
          <w:lang w:val="cs-CZ"/>
        </w:rPr>
        <w:t xml:space="preserve">průměr </w:t>
      </w:r>
      <w:r w:rsidR="00E96990">
        <w:rPr>
          <w:rFonts w:ascii="Times" w:hAnsi="Times"/>
          <w:lang w:val="cs-CZ"/>
        </w:rPr>
        <w:t>je po pandemii o deset dní napřed</w:t>
      </w:r>
      <w:r w:rsidRPr="00381EB1">
        <w:rPr>
          <w:rFonts w:ascii="Times" w:hAnsi="Times"/>
          <w:lang w:val="cs-CZ"/>
        </w:rPr>
        <w:t xml:space="preserve"> (</w:t>
      </w:r>
      <w:r w:rsidR="00E96990">
        <w:rPr>
          <w:rFonts w:ascii="Times" w:hAnsi="Times"/>
          <w:lang w:val="cs-CZ"/>
        </w:rPr>
        <w:t>7</w:t>
      </w:r>
      <w:r w:rsidRPr="00381EB1">
        <w:rPr>
          <w:rFonts w:ascii="Times" w:hAnsi="Times"/>
          <w:lang w:val="cs-CZ"/>
        </w:rPr>
        <w:t xml:space="preserve">. </w:t>
      </w:r>
      <w:r w:rsidR="00384745">
        <w:rPr>
          <w:rFonts w:ascii="Times" w:hAnsi="Times"/>
          <w:lang w:val="cs-CZ"/>
        </w:rPr>
        <w:t>6.).</w:t>
      </w:r>
      <w:r w:rsidRPr="00381EB1">
        <w:rPr>
          <w:rFonts w:ascii="Times" w:hAnsi="Times"/>
          <w:lang w:val="cs-CZ"/>
        </w:rPr>
        <w:t xml:space="preserve"> Jak ukazuje graf</w:t>
      </w:r>
      <w:r w:rsidR="00166C5E">
        <w:rPr>
          <w:rFonts w:ascii="Times" w:hAnsi="Times"/>
          <w:lang w:val="cs-CZ"/>
        </w:rPr>
        <w:t xml:space="preserve"> na následující straně</w:t>
      </w:r>
      <w:r w:rsidRPr="00381EB1">
        <w:rPr>
          <w:rFonts w:ascii="Times" w:hAnsi="Times"/>
          <w:lang w:val="cs-CZ"/>
        </w:rPr>
        <w:t>, jako první oslavili Den daňové svobody Irsku (</w:t>
      </w:r>
      <w:r w:rsidR="00E96990">
        <w:rPr>
          <w:rFonts w:ascii="Times" w:hAnsi="Times"/>
          <w:lang w:val="cs-CZ"/>
        </w:rPr>
        <w:t>25</w:t>
      </w:r>
      <w:r w:rsidRPr="00381EB1">
        <w:rPr>
          <w:rFonts w:ascii="Times" w:hAnsi="Times"/>
          <w:lang w:val="cs-CZ"/>
        </w:rPr>
        <w:t xml:space="preserve">. </w:t>
      </w:r>
      <w:r w:rsidR="00E96990">
        <w:rPr>
          <w:rFonts w:ascii="Times" w:hAnsi="Times"/>
          <w:lang w:val="cs-CZ"/>
        </w:rPr>
        <w:t>3</w:t>
      </w:r>
      <w:r w:rsidRPr="00381EB1">
        <w:rPr>
          <w:rFonts w:ascii="Times" w:hAnsi="Times"/>
          <w:lang w:val="cs-CZ"/>
        </w:rPr>
        <w:t>.), poté ve Švýcarsku (</w:t>
      </w:r>
      <w:r w:rsidR="00E96990">
        <w:rPr>
          <w:rFonts w:ascii="Times" w:hAnsi="Times"/>
          <w:lang w:val="cs-CZ"/>
        </w:rPr>
        <w:t>7</w:t>
      </w:r>
      <w:r w:rsidRPr="00381EB1">
        <w:rPr>
          <w:rFonts w:ascii="Times" w:hAnsi="Times"/>
          <w:lang w:val="cs-CZ"/>
        </w:rPr>
        <w:t>. 5.)</w:t>
      </w:r>
      <w:r w:rsidR="00B30423">
        <w:rPr>
          <w:rFonts w:ascii="Times" w:hAnsi="Times"/>
          <w:lang w:val="cs-CZ"/>
        </w:rPr>
        <w:t xml:space="preserve"> a v Jižní Koreji (1</w:t>
      </w:r>
      <w:r w:rsidR="00E96990">
        <w:rPr>
          <w:rFonts w:ascii="Times" w:hAnsi="Times"/>
          <w:lang w:val="cs-CZ"/>
        </w:rPr>
        <w:t>9</w:t>
      </w:r>
      <w:r w:rsidR="00B30423">
        <w:rPr>
          <w:rFonts w:ascii="Times" w:hAnsi="Times"/>
          <w:lang w:val="cs-CZ"/>
        </w:rPr>
        <w:t>. 5.).</w:t>
      </w:r>
    </w:p>
    <w:p w14:paraId="7C284041" w14:textId="77777777" w:rsidR="00381EB1" w:rsidRPr="00381EB1" w:rsidRDefault="00381EB1" w:rsidP="009152A2">
      <w:pPr>
        <w:jc w:val="both"/>
        <w:rPr>
          <w:rFonts w:ascii="Times" w:hAnsi="Times"/>
          <w:lang w:val="cs-CZ"/>
        </w:rPr>
      </w:pPr>
    </w:p>
    <w:p w14:paraId="3568E491" w14:textId="40F0C020" w:rsidR="00166C5E" w:rsidRDefault="00381EB1" w:rsidP="00B552CB">
      <w:pPr>
        <w:jc w:val="both"/>
        <w:rPr>
          <w:lang w:val="cs-CZ"/>
        </w:rPr>
      </w:pPr>
      <w:r w:rsidRPr="00381EB1">
        <w:rPr>
          <w:rFonts w:ascii="Times" w:hAnsi="Times"/>
          <w:lang w:val="cs-CZ"/>
        </w:rPr>
        <w:t>Již tradičně patří mezi poslední oslavence Francie (</w:t>
      </w:r>
      <w:r w:rsidR="00E96990">
        <w:rPr>
          <w:rFonts w:ascii="Times" w:hAnsi="Times"/>
          <w:lang w:val="cs-CZ"/>
        </w:rPr>
        <w:t>26. 7</w:t>
      </w:r>
      <w:r w:rsidRPr="00381EB1">
        <w:rPr>
          <w:rFonts w:ascii="Times" w:hAnsi="Times"/>
          <w:lang w:val="cs-CZ"/>
        </w:rPr>
        <w:t xml:space="preserve">.), </w:t>
      </w:r>
      <w:r w:rsidR="00E96990">
        <w:rPr>
          <w:rFonts w:ascii="Times" w:hAnsi="Times"/>
          <w:lang w:val="cs-CZ"/>
        </w:rPr>
        <w:t>Belgie (19. 7.) a Finsko (17. 7.)</w:t>
      </w:r>
      <w:r w:rsidRPr="00381EB1">
        <w:rPr>
          <w:rFonts w:ascii="Times" w:hAnsi="Times"/>
          <w:lang w:val="cs-CZ"/>
        </w:rPr>
        <w:t xml:space="preserve">. </w:t>
      </w:r>
      <w:r w:rsidR="000406ED" w:rsidRPr="00E96990">
        <w:rPr>
          <w:rFonts w:ascii="Times" w:hAnsi="Times"/>
          <w:lang w:val="cs-CZ"/>
        </w:rPr>
        <w:t>Z okolních států je DDS dříve na Slovensku (10. 6.) a v Polsku (13. 6.), později je v Německu (21. 6.), Maďarsku (25. 6.) a</w:t>
      </w:r>
      <w:r w:rsidR="00E96990">
        <w:rPr>
          <w:rFonts w:ascii="Times" w:hAnsi="Times"/>
          <w:lang w:val="cs-CZ"/>
        </w:rPr>
        <w:t> </w:t>
      </w:r>
      <w:r w:rsidR="000406ED" w:rsidRPr="00E96990">
        <w:rPr>
          <w:rFonts w:ascii="Times" w:hAnsi="Times"/>
          <w:lang w:val="cs-CZ"/>
        </w:rPr>
        <w:t>v Rakousku (</w:t>
      </w:r>
      <w:r w:rsidR="00017939">
        <w:rPr>
          <w:rFonts w:ascii="Times" w:hAnsi="Times"/>
          <w:lang w:val="cs-CZ"/>
        </w:rPr>
        <w:t>3</w:t>
      </w:r>
      <w:bookmarkStart w:id="0" w:name="_GoBack"/>
      <w:bookmarkEnd w:id="0"/>
      <w:r w:rsidR="000406ED" w:rsidRPr="00E96990">
        <w:rPr>
          <w:rFonts w:ascii="Times" w:hAnsi="Times"/>
          <w:lang w:val="cs-CZ"/>
        </w:rPr>
        <w:t>. 7.) je až v</w:t>
      </w:r>
      <w:r w:rsidR="00E96990">
        <w:rPr>
          <w:rFonts w:ascii="Times" w:hAnsi="Times"/>
          <w:lang w:val="cs-CZ"/>
        </w:rPr>
        <w:t> </w:t>
      </w:r>
      <w:r w:rsidR="000406ED" w:rsidRPr="00E96990">
        <w:rPr>
          <w:rFonts w:ascii="Times" w:hAnsi="Times"/>
          <w:lang w:val="cs-CZ"/>
        </w:rPr>
        <w:t>červenci</w:t>
      </w:r>
      <w:r w:rsidR="00E96990">
        <w:rPr>
          <w:rFonts w:ascii="Times" w:hAnsi="Times"/>
          <w:lang w:val="cs-CZ"/>
        </w:rPr>
        <w:t>.</w:t>
      </w:r>
      <w:r w:rsidR="00166C5E">
        <w:rPr>
          <w:lang w:val="cs-CZ"/>
        </w:rPr>
        <w:br w:type="page"/>
      </w:r>
    </w:p>
    <w:p w14:paraId="141555A3" w14:textId="0954FDDB" w:rsidR="00166C5E" w:rsidRPr="00EB41FD" w:rsidRDefault="00166C5E" w:rsidP="00166C5E">
      <w:pPr>
        <w:rPr>
          <w:rFonts w:ascii="PT Sans" w:hAnsi="PT Sans"/>
          <w:lang w:val="cs-CZ"/>
        </w:rPr>
      </w:pPr>
      <w:r w:rsidRPr="00EB41FD">
        <w:rPr>
          <w:rFonts w:ascii="PT Sans" w:hAnsi="PT Sans"/>
          <w:b/>
          <w:bCs/>
          <w:lang w:val="cs-CZ" w:eastAsia="cs-CZ"/>
        </w:rPr>
        <w:lastRenderedPageBreak/>
        <w:t>Graf: DEN DAŇOVÉ SVOBODY</w:t>
      </w:r>
      <w:r>
        <w:rPr>
          <w:rFonts w:ascii="PT Sans" w:hAnsi="PT Sans"/>
          <w:b/>
          <w:bCs/>
          <w:lang w:val="cs-CZ" w:eastAsia="cs-CZ"/>
        </w:rPr>
        <w:t xml:space="preserve"> 202</w:t>
      </w:r>
      <w:r w:rsidR="00915E2F">
        <w:rPr>
          <w:rFonts w:ascii="PT Sans" w:hAnsi="PT Sans"/>
          <w:b/>
          <w:bCs/>
          <w:lang w:val="cs-CZ" w:eastAsia="cs-CZ"/>
        </w:rPr>
        <w:t>2</w:t>
      </w:r>
      <w:r>
        <w:rPr>
          <w:rFonts w:ascii="PT Sans" w:hAnsi="PT Sans"/>
          <w:b/>
          <w:bCs/>
          <w:lang w:val="cs-CZ" w:eastAsia="cs-CZ"/>
        </w:rPr>
        <w:t xml:space="preserve"> A 2021</w:t>
      </w:r>
      <w:r w:rsidRPr="00EB41FD">
        <w:rPr>
          <w:rFonts w:ascii="PT Sans" w:hAnsi="PT Sans"/>
          <w:b/>
          <w:bCs/>
          <w:lang w:val="cs-CZ" w:eastAsia="cs-CZ"/>
        </w:rPr>
        <w:t xml:space="preserve"> V</w:t>
      </w:r>
      <w:r>
        <w:rPr>
          <w:rFonts w:ascii="PT Sans" w:hAnsi="PT Sans"/>
          <w:b/>
          <w:bCs/>
          <w:lang w:val="cs-CZ" w:eastAsia="cs-CZ"/>
        </w:rPr>
        <w:t> MEZINÁRODNÍM SROVNÁNÍ</w:t>
      </w:r>
    </w:p>
    <w:p w14:paraId="11830238" w14:textId="77777777" w:rsidR="006A57F0" w:rsidRPr="006A57F0" w:rsidRDefault="00915E2F" w:rsidP="00166C5E">
      <w:pPr>
        <w:shd w:val="clear" w:color="auto" w:fill="FFFFFF"/>
        <w:spacing w:line="240" w:lineRule="auto"/>
        <w:jc w:val="center"/>
        <w:rPr>
          <w:rFonts w:eastAsia="Times New Roman"/>
          <w:color w:val="222222"/>
          <w:sz w:val="24"/>
          <w:szCs w:val="24"/>
          <w:lang w:val="cs-CZ" w:eastAsia="cs-CZ"/>
        </w:rPr>
      </w:pPr>
      <w:r>
        <w:rPr>
          <w:noProof/>
          <w:lang w:val="cs-CZ" w:eastAsia="cs-CZ"/>
        </w:rPr>
        <w:drawing>
          <wp:inline distT="0" distB="0" distL="0" distR="0" wp14:anchorId="76B868D6" wp14:editId="1B9ADB5F">
            <wp:extent cx="3773606" cy="7075805"/>
            <wp:effectExtent l="0" t="0" r="17780" b="1079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F8D411" w14:textId="77777777" w:rsidR="00B34198" w:rsidRDefault="000779B9" w:rsidP="00166C5E">
      <w:pPr>
        <w:rPr>
          <w:rFonts w:ascii="Times" w:eastAsia="Times New Roman" w:hAnsi="Times"/>
          <w:b/>
          <w:bCs/>
          <w:i/>
          <w:iCs/>
          <w:lang w:val="cs-CZ" w:eastAsia="cs-CZ"/>
        </w:rPr>
      </w:pPr>
      <w:r>
        <w:rPr>
          <w:b/>
          <w:bCs/>
          <w:lang w:val="cs-CZ" w:eastAsia="cs-CZ"/>
        </w:rPr>
        <w:br/>
      </w:r>
      <w:r w:rsidR="00B34198" w:rsidRPr="00B34198">
        <w:rPr>
          <w:rFonts w:ascii="Times" w:eastAsia="Times New Roman" w:hAnsi="Times"/>
          <w:i/>
          <w:iCs/>
          <w:color w:val="000000"/>
          <w:lang w:val="cs-CZ" w:eastAsia="cs-CZ"/>
        </w:rPr>
        <w:t>Zdroj: </w:t>
      </w:r>
      <w:hyperlink r:id="rId10" w:history="1">
        <w:r w:rsidR="00B34198" w:rsidRPr="00B34198">
          <w:rPr>
            <w:rFonts w:ascii="Times" w:eastAsia="Times New Roman" w:hAnsi="Times"/>
            <w:b/>
            <w:bCs/>
            <w:i/>
            <w:iCs/>
            <w:lang w:val="cs-CZ" w:eastAsia="cs-CZ"/>
          </w:rPr>
          <w:t>dendanovesvobody.cz</w:t>
        </w:r>
      </w:hyperlink>
    </w:p>
    <w:p w14:paraId="09EC7316" w14:textId="77777777" w:rsidR="000A5478" w:rsidRPr="003922D0" w:rsidRDefault="003922D0" w:rsidP="00B34198">
      <w:pPr>
        <w:jc w:val="both"/>
        <w:rPr>
          <w:rFonts w:ascii="PT Sans" w:hAnsi="PT Sans" w:cs="Times New Roman"/>
          <w:b/>
          <w:bCs/>
          <w:lang w:val="cs-CZ"/>
        </w:rPr>
      </w:pPr>
      <w:r>
        <w:rPr>
          <w:rFonts w:ascii="PT Sans" w:hAnsi="PT Sans" w:cs="Times New Roman"/>
          <w:b/>
          <w:bCs/>
          <w:lang w:val="cs-CZ"/>
        </w:rPr>
        <w:lastRenderedPageBreak/>
        <w:t xml:space="preserve"> </w:t>
      </w:r>
      <w:r w:rsidRPr="003922D0">
        <w:rPr>
          <w:rFonts w:ascii="PT Sans" w:hAnsi="PT Sans" w:cs="Times New Roman"/>
          <w:b/>
          <w:bCs/>
          <w:lang w:val="cs-CZ"/>
        </w:rPr>
        <w:t xml:space="preserve">Tabulka: Vývoj Dne daňové svobody </w:t>
      </w:r>
      <w:r w:rsidR="00621D43">
        <w:rPr>
          <w:rFonts w:ascii="PT Sans" w:hAnsi="PT Sans" w:cs="Times New Roman"/>
          <w:b/>
          <w:bCs/>
          <w:lang w:val="cs-CZ"/>
        </w:rPr>
        <w:t>v jednotlivých letech</w:t>
      </w:r>
    </w:p>
    <w:tbl>
      <w:tblPr>
        <w:tblW w:w="5620" w:type="dxa"/>
        <w:jc w:val="center"/>
        <w:tblCellMar>
          <w:left w:w="70" w:type="dxa"/>
          <w:right w:w="70" w:type="dxa"/>
        </w:tblCellMar>
        <w:tblLook w:val="04A0" w:firstRow="1" w:lastRow="0" w:firstColumn="1" w:lastColumn="0" w:noHBand="0" w:noVBand="1"/>
      </w:tblPr>
      <w:tblGrid>
        <w:gridCol w:w="1020"/>
        <w:gridCol w:w="2200"/>
        <w:gridCol w:w="2400"/>
      </w:tblGrid>
      <w:tr w:rsidR="000A5478" w:rsidRPr="00E91F5D" w14:paraId="1D8443B0" w14:textId="77777777" w:rsidTr="001A151B">
        <w:trPr>
          <w:trHeight w:val="255"/>
          <w:jc w:val="center"/>
        </w:trPr>
        <w:tc>
          <w:tcPr>
            <w:tcW w:w="102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4F07BD7A"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Rok</w:t>
            </w:r>
          </w:p>
        </w:tc>
        <w:tc>
          <w:tcPr>
            <w:tcW w:w="22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76FCCAC8"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Den daňové svobody</w:t>
            </w:r>
          </w:p>
        </w:tc>
        <w:tc>
          <w:tcPr>
            <w:tcW w:w="24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5AFC5636"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Počet dní práce na stát</w:t>
            </w:r>
          </w:p>
        </w:tc>
      </w:tr>
      <w:tr w:rsidR="000A5478" w:rsidRPr="00A300CB" w14:paraId="071D25B8"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258A4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35DF3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6.</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C127B5"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14:paraId="2B44F554"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CCAF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42B49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6659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14:paraId="0C887EF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8461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965D6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8A37B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06CC617A"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C6E2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9B8C0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73D0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162</w:t>
            </w:r>
          </w:p>
        </w:tc>
      </w:tr>
      <w:tr w:rsidR="000A5478" w:rsidRPr="00A300CB" w14:paraId="63EDAC44"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C4407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E8EE9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15F1E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166</w:t>
            </w:r>
          </w:p>
        </w:tc>
      </w:tr>
      <w:tr w:rsidR="000A5478" w:rsidRPr="00A300CB" w14:paraId="0ECEB04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690E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102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2E3E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14:paraId="5BA15332"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4E2C1A"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FEA8C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9DB12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14:paraId="4FC63C4C"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189F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5C82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C65B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759EC4D5"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4195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4CB70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168FF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158</w:t>
            </w:r>
          </w:p>
        </w:tc>
      </w:tr>
      <w:tr w:rsidR="000A5478" w:rsidRPr="00A300CB" w14:paraId="7519BEB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F21D1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38D3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13.</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D733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163</w:t>
            </w:r>
          </w:p>
        </w:tc>
      </w:tr>
      <w:tr w:rsidR="000A5478" w:rsidRPr="00A300CB" w14:paraId="5E0157D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B7A74F"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9A80B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484EB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168</w:t>
            </w:r>
          </w:p>
        </w:tc>
      </w:tr>
      <w:tr w:rsidR="000A5478" w:rsidRPr="00A300CB" w14:paraId="4F92A83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94A3C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B279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A84B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165</w:t>
            </w:r>
          </w:p>
        </w:tc>
      </w:tr>
      <w:tr w:rsidR="000A5478" w:rsidRPr="00A300CB" w14:paraId="0B1F13F7"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4D0FB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61AED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7E08A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14:paraId="31AA1BD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D92D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63C9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F061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4451D67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F9EAE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B49E4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10.</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2973F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14:paraId="78D907C8"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C8A7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9A44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0A4A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155</w:t>
            </w:r>
          </w:p>
        </w:tc>
      </w:tr>
      <w:tr w:rsidR="000A5478" w:rsidRPr="00A300CB" w14:paraId="259E704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0C8C8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78D1A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105BC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153</w:t>
            </w:r>
          </w:p>
        </w:tc>
      </w:tr>
      <w:tr w:rsidR="000A5478" w:rsidRPr="00A300CB" w14:paraId="4B47FA1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7605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46D73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A75DA"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149</w:t>
            </w:r>
          </w:p>
        </w:tc>
      </w:tr>
      <w:tr w:rsidR="000A5478" w:rsidRPr="00A300CB" w14:paraId="1049176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534D8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D12A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519189"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142</w:t>
            </w:r>
          </w:p>
        </w:tc>
      </w:tr>
      <w:tr w:rsidR="000A5478" w:rsidRPr="00A300CB" w14:paraId="19DC6E3B"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12993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C969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790C6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148</w:t>
            </w:r>
          </w:p>
        </w:tc>
      </w:tr>
      <w:tr w:rsidR="000A5478" w:rsidRPr="00A300CB" w14:paraId="6B019AE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7D9F7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2020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5C078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9A8C3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175</w:t>
            </w:r>
          </w:p>
        </w:tc>
      </w:tr>
      <w:tr w:rsidR="00166C5E" w:rsidRPr="00A300CB" w14:paraId="0BC5AA30" w14:textId="77777777" w:rsidTr="00915E2F">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79F8A79"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2021</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E900A9C"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25. 6.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6F40DE3"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175</w:t>
            </w:r>
          </w:p>
        </w:tc>
      </w:tr>
      <w:tr w:rsidR="00915E2F" w:rsidRPr="00A300CB" w14:paraId="26E588A5" w14:textId="77777777" w:rsidTr="001A151B">
        <w:trPr>
          <w:trHeight w:val="255"/>
          <w:jc w:val="center"/>
        </w:trPr>
        <w:tc>
          <w:tcPr>
            <w:tcW w:w="102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14:paraId="391EBC7E"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2022</w:t>
            </w:r>
          </w:p>
        </w:tc>
        <w:tc>
          <w:tcPr>
            <w:tcW w:w="220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14:paraId="6B320B6E"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17. 6.</w:t>
            </w:r>
          </w:p>
        </w:tc>
        <w:tc>
          <w:tcPr>
            <w:tcW w:w="2400" w:type="dxa"/>
            <w:tcBorders>
              <w:top w:val="single" w:sz="4" w:space="0" w:color="000000"/>
              <w:left w:val="single" w:sz="4" w:space="0" w:color="000000"/>
              <w:bottom w:val="single" w:sz="8" w:space="0" w:color="000000"/>
              <w:right w:val="single" w:sz="4" w:space="0" w:color="000000"/>
            </w:tcBorders>
            <w:shd w:val="clear" w:color="D9D9D9" w:fill="D9D9D9"/>
            <w:noWrap/>
            <w:vAlign w:val="bottom"/>
          </w:tcPr>
          <w:p w14:paraId="79ED7D1C"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167</w:t>
            </w:r>
          </w:p>
        </w:tc>
      </w:tr>
    </w:tbl>
    <w:p w14:paraId="4EB7E3F4" w14:textId="77777777" w:rsidR="008F7D0C" w:rsidRDefault="000A5478" w:rsidP="00177004">
      <w:pPr>
        <w:spacing w:before="375" w:after="375"/>
        <w:jc w:val="both"/>
        <w:rPr>
          <w:rFonts w:ascii="Times" w:hAnsi="Times"/>
          <w:color w:val="000000"/>
          <w:lang w:val="cs-CZ" w:eastAsia="cs-CZ"/>
        </w:rPr>
      </w:pPr>
      <w:r w:rsidRPr="000A5478">
        <w:rPr>
          <w:rFonts w:ascii="Times" w:hAnsi="Times"/>
          <w:color w:val="000000"/>
          <w:lang w:val="cs-CZ" w:eastAsia="cs-CZ"/>
        </w:rPr>
        <w:t>Liberální institut pro výpočet Dne daňové svobody používá metodiku zaměřenou na výdajovou stranu veřejných financí. Jsou to totiž právě výdaje, které je nutné financovat daňovými příjmy a které, v případě deficitních rozpočtů, determinují i nutnost splácet v budoucnu dluh.</w:t>
      </w:r>
    </w:p>
    <w:p w14:paraId="7FB0E273" w14:textId="77777777" w:rsidR="008F7D0C" w:rsidRDefault="008F7D0C" w:rsidP="008F7D0C">
      <w:pPr>
        <w:rPr>
          <w:lang w:val="cs-CZ" w:eastAsia="cs-CZ"/>
        </w:rPr>
      </w:pPr>
      <w:r>
        <w:rPr>
          <w:lang w:val="cs-CZ" w:eastAsia="cs-CZ"/>
        </w:rPr>
        <w:br w:type="page"/>
      </w:r>
    </w:p>
    <w:p w14:paraId="3FEC5BAD" w14:textId="77777777" w:rsidR="000A5478" w:rsidRPr="005B7B5D" w:rsidRDefault="000A5478" w:rsidP="000A5478">
      <w:pPr>
        <w:spacing w:before="375" w:after="375"/>
        <w:rPr>
          <w:rFonts w:ascii="PT Sans" w:hAnsi="PT Sans"/>
          <w:b/>
          <w:color w:val="000000"/>
          <w:lang w:val="cs-CZ" w:eastAsia="cs-CZ"/>
        </w:rPr>
      </w:pPr>
      <w:r w:rsidRPr="005B7B5D">
        <w:rPr>
          <w:rFonts w:ascii="PT Sans" w:hAnsi="PT Sans"/>
          <w:b/>
          <w:color w:val="000000"/>
          <w:lang w:val="cs-CZ" w:eastAsia="cs-CZ"/>
        </w:rPr>
        <w:lastRenderedPageBreak/>
        <w:t>Pro více informací kontaktujte:</w:t>
      </w:r>
    </w:p>
    <w:p w14:paraId="6985C619" w14:textId="77777777" w:rsidR="000A5478" w:rsidRPr="003936AA" w:rsidRDefault="000A5478" w:rsidP="000A5478">
      <w:pPr>
        <w:rPr>
          <w:rFonts w:ascii="Times" w:hAnsi="Times"/>
          <w:i/>
          <w:iCs/>
          <w:color w:val="000000"/>
          <w:lang w:val="cs-CZ" w:eastAsia="cs-CZ"/>
        </w:rPr>
      </w:pPr>
      <w:r w:rsidRPr="003936AA">
        <w:rPr>
          <w:rFonts w:ascii="Times" w:hAnsi="Times"/>
          <w:i/>
          <w:iCs/>
          <w:color w:val="000000"/>
          <w:lang w:val="cs-CZ" w:eastAsia="cs-CZ"/>
        </w:rPr>
        <w:t xml:space="preserve">Gabriela </w:t>
      </w:r>
      <w:r w:rsidR="00915E2F">
        <w:rPr>
          <w:rFonts w:ascii="Times" w:hAnsi="Times"/>
          <w:i/>
          <w:iCs/>
          <w:color w:val="000000"/>
          <w:lang w:val="cs-CZ" w:eastAsia="cs-CZ"/>
        </w:rPr>
        <w:t>Řezníčková</w:t>
      </w:r>
    </w:p>
    <w:p w14:paraId="4C0DAD82" w14:textId="77777777" w:rsidR="000A5478" w:rsidRPr="003936AA" w:rsidRDefault="000A5478" w:rsidP="000A5478">
      <w:pPr>
        <w:rPr>
          <w:rFonts w:ascii="Times" w:hAnsi="Times"/>
          <w:b/>
          <w:bCs/>
          <w:i/>
          <w:iCs/>
          <w:lang w:val="cs-CZ" w:eastAsia="cs-CZ"/>
        </w:rPr>
      </w:pPr>
      <w:r w:rsidRPr="003936AA">
        <w:rPr>
          <w:rFonts w:ascii="Times" w:hAnsi="Times"/>
          <w:i/>
          <w:iCs/>
          <w:color w:val="000000"/>
          <w:lang w:val="cs-CZ" w:eastAsia="cs-CZ"/>
        </w:rPr>
        <w:t>projektová manažerka Liberálního institutu</w:t>
      </w:r>
      <w:r w:rsidRPr="003936AA">
        <w:rPr>
          <w:rFonts w:ascii="Times" w:hAnsi="Times"/>
          <w:i/>
          <w:iCs/>
          <w:color w:val="000000"/>
          <w:lang w:val="cs-CZ" w:eastAsia="cs-CZ"/>
        </w:rPr>
        <w:br/>
      </w:r>
      <w:r>
        <w:rPr>
          <w:rFonts w:ascii="Times" w:hAnsi="Times"/>
          <w:b/>
          <w:bCs/>
          <w:i/>
          <w:iCs/>
          <w:lang w:val="cs-CZ" w:eastAsia="cs-CZ"/>
        </w:rPr>
        <w:t>gabriela.</w:t>
      </w:r>
      <w:r w:rsidR="00915E2F">
        <w:rPr>
          <w:rFonts w:ascii="Times" w:hAnsi="Times"/>
          <w:b/>
          <w:bCs/>
          <w:i/>
          <w:iCs/>
          <w:lang w:val="cs-CZ" w:eastAsia="cs-CZ"/>
        </w:rPr>
        <w:t>reznickova</w:t>
      </w:r>
      <w:r>
        <w:rPr>
          <w:rFonts w:ascii="Times" w:hAnsi="Times"/>
          <w:b/>
          <w:bCs/>
          <w:i/>
          <w:iCs/>
          <w:lang w:val="cs-CZ" w:eastAsia="cs-CZ"/>
        </w:rPr>
        <w:t>@libinst.cz, 731 287 387</w:t>
      </w:r>
      <w:r w:rsidRPr="003936AA">
        <w:rPr>
          <w:rFonts w:ascii="Times" w:hAnsi="Times"/>
          <w:lang w:val="cs-CZ" w:eastAsia="cs-CZ"/>
        </w:rPr>
        <w:br/>
      </w:r>
    </w:p>
    <w:p w14:paraId="43C63ACE" w14:textId="77777777" w:rsidR="000A5478" w:rsidRPr="003936AA" w:rsidRDefault="000A5478" w:rsidP="000A5478">
      <w:pPr>
        <w:spacing w:before="100" w:beforeAutospacing="1" w:after="100" w:afterAutospacing="1"/>
        <w:rPr>
          <w:rFonts w:ascii="Times" w:hAnsi="Times"/>
          <w:b/>
          <w:bCs/>
          <w:i/>
          <w:iCs/>
          <w:lang w:val="pl-PL" w:eastAsia="cs-CZ"/>
        </w:rPr>
      </w:pPr>
      <w:r w:rsidRPr="003936AA">
        <w:rPr>
          <w:rFonts w:ascii="Times" w:hAnsi="Times"/>
          <w:bCs/>
          <w:i/>
          <w:iCs/>
          <w:lang w:val="pl-PL" w:eastAsia="cs-CZ"/>
        </w:rPr>
        <w:t>Martin Pánek</w:t>
      </w:r>
      <w:r w:rsidRPr="003936AA">
        <w:rPr>
          <w:rFonts w:ascii="Times" w:hAnsi="Times"/>
          <w:bCs/>
          <w:i/>
          <w:iCs/>
          <w:lang w:val="pl-PL" w:eastAsia="cs-CZ"/>
        </w:rPr>
        <w:br/>
        <w:t>ředitel Liberálního institutu a vedoucí projektu DDS</w:t>
      </w:r>
      <w:r w:rsidRPr="003936AA">
        <w:rPr>
          <w:rFonts w:ascii="Times" w:hAnsi="Times"/>
          <w:bCs/>
          <w:i/>
          <w:iCs/>
          <w:lang w:val="pl-PL" w:eastAsia="cs-CZ"/>
        </w:rPr>
        <w:br/>
      </w:r>
      <w:r w:rsidRPr="003936AA">
        <w:rPr>
          <w:rFonts w:ascii="Times" w:hAnsi="Times"/>
          <w:b/>
          <w:bCs/>
          <w:i/>
          <w:iCs/>
          <w:lang w:val="pl-PL" w:eastAsia="cs-CZ"/>
        </w:rPr>
        <w:t>martin.panek@libinst.cz, 777 157 142</w:t>
      </w:r>
    </w:p>
    <w:p w14:paraId="26CABDDD" w14:textId="77777777" w:rsidR="000A5478" w:rsidRPr="008F7D0C" w:rsidRDefault="000A5478" w:rsidP="000A5478">
      <w:pPr>
        <w:spacing w:before="100" w:beforeAutospacing="1" w:after="100" w:afterAutospacing="1"/>
        <w:rPr>
          <w:rFonts w:ascii="Garamond" w:hAnsi="Garamond"/>
          <w:sz w:val="40"/>
          <w:szCs w:val="40"/>
          <w:lang w:val="cs-CZ"/>
        </w:rPr>
      </w:pPr>
    </w:p>
    <w:p w14:paraId="4AE296A2" w14:textId="77777777" w:rsidR="000A5478" w:rsidRPr="005B7B5D" w:rsidRDefault="00E3426D" w:rsidP="000A5478">
      <w:pPr>
        <w:spacing w:before="100" w:beforeAutospacing="1" w:after="100" w:afterAutospacing="1"/>
        <w:jc w:val="center"/>
        <w:rPr>
          <w:rFonts w:ascii="PT Sans" w:hAnsi="PT Sans"/>
          <w:sz w:val="40"/>
          <w:szCs w:val="40"/>
          <w:lang w:val="cs-CZ"/>
        </w:rPr>
      </w:pPr>
      <w:hyperlink r:id="rId11" w:history="1">
        <w:r w:rsidR="000A5478" w:rsidRPr="005B7B5D">
          <w:rPr>
            <w:rFonts w:ascii="PT Sans" w:hAnsi="PT Sans"/>
            <w:b/>
            <w:bCs/>
            <w:i/>
            <w:iCs/>
            <w:sz w:val="40"/>
            <w:szCs w:val="40"/>
            <w:lang w:val="cs-CZ" w:eastAsia="cs-CZ"/>
          </w:rPr>
          <w:t>www.libinst.cz</w:t>
        </w:r>
      </w:hyperlink>
      <w:r w:rsidR="000A5478" w:rsidRPr="005B7B5D">
        <w:rPr>
          <w:rFonts w:ascii="PT Sans" w:hAnsi="PT Sans"/>
          <w:sz w:val="40"/>
          <w:szCs w:val="40"/>
          <w:lang w:val="cs-CZ" w:eastAsia="cs-CZ"/>
        </w:rPr>
        <w:br/>
      </w:r>
      <w:hyperlink r:id="rId12" w:history="1">
        <w:r w:rsidR="000A5478" w:rsidRPr="005B7B5D">
          <w:rPr>
            <w:rFonts w:ascii="PT Sans" w:hAnsi="PT Sans"/>
            <w:b/>
            <w:bCs/>
            <w:i/>
            <w:iCs/>
            <w:sz w:val="40"/>
            <w:szCs w:val="40"/>
            <w:lang w:val="cs-CZ" w:eastAsia="cs-CZ"/>
          </w:rPr>
          <w:t>www.dendanovesvobody.cz</w:t>
        </w:r>
      </w:hyperlink>
    </w:p>
    <w:p w14:paraId="71B9AC66" w14:textId="77777777" w:rsidR="000A5478" w:rsidRDefault="000A5478" w:rsidP="000A5478">
      <w:pPr>
        <w:autoSpaceDE w:val="0"/>
        <w:autoSpaceDN w:val="0"/>
        <w:adjustRightInd w:val="0"/>
        <w:jc w:val="center"/>
        <w:rPr>
          <w:rFonts w:ascii="Cambria" w:hAnsi="Cambria" w:cs="Cambria"/>
          <w:color w:val="000000"/>
          <w:lang w:val="en-GB"/>
        </w:rPr>
      </w:pPr>
      <w:r>
        <w:rPr>
          <w:rFonts w:ascii="Cambria" w:hAnsi="Cambria" w:cs="Cambria"/>
          <w:noProof/>
          <w:color w:val="000000"/>
          <w:lang w:val="cs-CZ" w:eastAsia="cs-CZ"/>
        </w:rPr>
        <w:drawing>
          <wp:inline distT="0" distB="0" distL="0" distR="0" wp14:anchorId="1EDE8848" wp14:editId="5A1EF18B">
            <wp:extent cx="3175000" cy="1295400"/>
            <wp:effectExtent l="0" t="0" r="0" b="0"/>
            <wp:docPr id="3" name="obrázek 3" descr="FNF_Englisch_Farb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F_Englisch_Farbe_Scr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1295400"/>
                    </a:xfrm>
                    <a:prstGeom prst="rect">
                      <a:avLst/>
                    </a:prstGeom>
                    <a:noFill/>
                    <a:ln>
                      <a:noFill/>
                    </a:ln>
                  </pic:spPr>
                </pic:pic>
              </a:graphicData>
            </a:graphic>
          </wp:inline>
        </w:drawing>
      </w:r>
    </w:p>
    <w:p w14:paraId="7B17C64D" w14:textId="77777777" w:rsidR="00FA52D6" w:rsidRPr="00B34198" w:rsidRDefault="00FA52D6" w:rsidP="005E3665">
      <w:pPr>
        <w:pStyle w:val="Default"/>
        <w:rPr>
          <w:sz w:val="32"/>
          <w:szCs w:val="32"/>
          <w:lang w:val="cs-CZ"/>
        </w:rPr>
      </w:pPr>
    </w:p>
    <w:p w14:paraId="5A1F84E9" w14:textId="77777777" w:rsidR="005E3665" w:rsidRPr="00A635F1" w:rsidRDefault="005E3665" w:rsidP="00A635F1">
      <w:pPr>
        <w:rPr>
          <w:rFonts w:ascii="PT Sans" w:hAnsi="PT Sans"/>
          <w:b/>
          <w:bCs/>
          <w:color w:val="000000"/>
          <w:sz w:val="24"/>
          <w:szCs w:val="24"/>
          <w:lang w:val="cs-CZ" w:eastAsia="cs-CZ"/>
        </w:rPr>
      </w:pPr>
    </w:p>
    <w:sectPr w:rsidR="005E3665" w:rsidRPr="00A635F1" w:rsidSect="005E366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09D3D" w14:textId="77777777" w:rsidR="00E3426D" w:rsidRDefault="00E3426D">
      <w:pPr>
        <w:spacing w:line="240" w:lineRule="auto"/>
      </w:pPr>
      <w:r>
        <w:separator/>
      </w:r>
    </w:p>
  </w:endnote>
  <w:endnote w:type="continuationSeparator" w:id="0">
    <w:p w14:paraId="0C81B089" w14:textId="77777777" w:rsidR="00E3426D" w:rsidRDefault="00E34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ans">
    <w:altName w:val="Corbel"/>
    <w:panose1 w:val="020B0503020203020204"/>
    <w:charset w:val="4D"/>
    <w:family w:val="swiss"/>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5000205A"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0547" w14:textId="77777777" w:rsidR="00943CD1" w:rsidRDefault="00943CD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A07D" w14:textId="77777777" w:rsidR="005E3665" w:rsidRDefault="005E3665" w:rsidP="00A57F39">
    <w:pPr>
      <w:tabs>
        <w:tab w:val="left" w:pos="8222"/>
      </w:tabs>
      <w:ind w:left="5812"/>
      <w:rPr>
        <w:rFonts w:ascii="PT Sans" w:hAnsi="PT Sans"/>
        <w:sz w:val="16"/>
        <w:szCs w:val="16"/>
        <w:lang w:val="cs-CZ"/>
      </w:rPr>
    </w:pPr>
  </w:p>
  <w:p w14:paraId="7AC199E6" w14:textId="77777777" w:rsidR="005E3665" w:rsidRDefault="005E3665" w:rsidP="00A57F39">
    <w:pPr>
      <w:tabs>
        <w:tab w:val="left" w:pos="8222"/>
      </w:tabs>
      <w:ind w:left="5812"/>
      <w:rPr>
        <w:rFonts w:ascii="PT Sans" w:hAnsi="PT Sans"/>
        <w:sz w:val="16"/>
        <w:szCs w:val="16"/>
        <w:lang w:val="cs-CZ"/>
      </w:rPr>
    </w:pPr>
  </w:p>
  <w:p w14:paraId="7039F920" w14:textId="77777777" w:rsidR="005E3665" w:rsidRDefault="005E3665" w:rsidP="00A57F39">
    <w:pPr>
      <w:tabs>
        <w:tab w:val="left" w:pos="8222"/>
      </w:tabs>
      <w:ind w:left="5812"/>
      <w:rPr>
        <w:rFonts w:ascii="PT Sans" w:hAnsi="PT Sans"/>
        <w:sz w:val="16"/>
        <w:szCs w:val="16"/>
        <w:lang w:val="cs-CZ"/>
      </w:rPr>
    </w:pPr>
  </w:p>
  <w:p w14:paraId="7B17221A" w14:textId="77777777" w:rsidR="00A57F39" w:rsidRPr="00A57F39" w:rsidRDefault="00A57F39" w:rsidP="00943CD1">
    <w:pPr>
      <w:tabs>
        <w:tab w:val="left" w:pos="7797"/>
      </w:tabs>
      <w:ind w:left="5812"/>
      <w:jc w:val="right"/>
      <w:rPr>
        <w:rFonts w:ascii="PT Sans" w:hAnsi="PT Sans"/>
        <w:sz w:val="16"/>
        <w:szCs w:val="16"/>
        <w:lang w:val="cs-CZ"/>
      </w:rPr>
    </w:pPr>
    <w:r w:rsidRPr="00A57F39">
      <w:rPr>
        <w:rFonts w:ascii="PT Sans" w:hAnsi="PT Sans"/>
        <w:noProof/>
        <w:sz w:val="16"/>
        <w:szCs w:val="16"/>
        <w:lang w:val="cs-CZ" w:eastAsia="cs-CZ"/>
      </w:rPr>
      <w:drawing>
        <wp:anchor distT="0" distB="0" distL="114300" distR="114300" simplePos="0" relativeHeight="251658240" behindDoc="1" locked="0" layoutInCell="1" allowOverlap="1" wp14:anchorId="264DB76B" wp14:editId="0E825D90">
          <wp:simplePos x="0" y="0"/>
          <wp:positionH relativeFrom="column">
            <wp:posOffset>0</wp:posOffset>
          </wp:positionH>
          <wp:positionV relativeFrom="paragraph">
            <wp:posOffset>4445</wp:posOffset>
          </wp:positionV>
          <wp:extent cx="872226" cy="330200"/>
          <wp:effectExtent l="0" t="0" r="4445" b="0"/>
          <wp:wrapTight wrapText="bothSides">
            <wp:wrapPolygon edited="0">
              <wp:start x="0" y="0"/>
              <wp:lineTo x="0" y="20769"/>
              <wp:lineTo x="16676" y="20769"/>
              <wp:lineTo x="21395" y="16615"/>
              <wp:lineTo x="21395"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
                    <a:extLst>
                      <a:ext uri="{28A0092B-C50C-407E-A947-70E740481C1C}">
                        <a14:useLocalDpi xmlns:a14="http://schemas.microsoft.com/office/drawing/2010/main" val="0"/>
                      </a:ext>
                    </a:extLst>
                  </a:blip>
                  <a:stretch>
                    <a:fillRect/>
                  </a:stretch>
                </pic:blipFill>
                <pic:spPr>
                  <a:xfrm>
                    <a:off x="0" y="0"/>
                    <a:ext cx="872226" cy="330200"/>
                  </a:xfrm>
                  <a:prstGeom prst="rect">
                    <a:avLst/>
                  </a:prstGeom>
                </pic:spPr>
              </pic:pic>
            </a:graphicData>
          </a:graphic>
          <wp14:sizeRelH relativeFrom="page">
            <wp14:pctWidth>0</wp14:pctWidth>
          </wp14:sizeRelH>
          <wp14:sizeRelV relativeFrom="page">
            <wp14:pctHeight>0</wp14:pctHeight>
          </wp14:sizeRelV>
        </wp:anchor>
      </w:drawing>
    </w:r>
    <w:r>
      <w:rPr>
        <w:rFonts w:ascii="PT Sans" w:hAnsi="PT Sans"/>
        <w:sz w:val="16"/>
        <w:szCs w:val="16"/>
        <w:lang w:val="cs-CZ"/>
      </w:rPr>
      <w:tab/>
    </w:r>
    <w:r w:rsidR="00943CD1" w:rsidRPr="00A57F39">
      <w:rPr>
        <w:rFonts w:ascii="PT Sans" w:hAnsi="PT Sans"/>
        <w:sz w:val="16"/>
        <w:szCs w:val="16"/>
        <w:lang w:val="cs-CZ"/>
      </w:rPr>
      <w:t xml:space="preserve">Liberální institut, z. </w:t>
    </w:r>
    <w:proofErr w:type="spellStart"/>
    <w:r w:rsidR="00943CD1">
      <w:rPr>
        <w:rFonts w:ascii="PT Sans" w:hAnsi="PT Sans"/>
        <w:sz w:val="16"/>
        <w:szCs w:val="16"/>
        <w:lang w:val="cs-CZ"/>
      </w:rPr>
      <w:t>ú</w:t>
    </w:r>
    <w:r w:rsidR="00943CD1" w:rsidRPr="00A57F39">
      <w:rPr>
        <w:rFonts w:ascii="PT Sans" w:hAnsi="PT Sans"/>
        <w:sz w:val="16"/>
        <w:szCs w:val="16"/>
        <w:lang w:val="cs-CZ"/>
      </w:rPr>
      <w:t>.</w:t>
    </w:r>
    <w:proofErr w:type="spellEnd"/>
  </w:p>
  <w:p w14:paraId="41844BC9" w14:textId="77777777"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info@libinst.cz</w:t>
    </w:r>
  </w:p>
  <w:p w14:paraId="0B5C401B" w14:textId="77777777"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www.libinst.cz</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D7C4" w14:textId="77777777" w:rsidR="00943CD1" w:rsidRDefault="00943CD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4C2A" w14:textId="77777777" w:rsidR="00E3426D" w:rsidRDefault="00E3426D">
      <w:pPr>
        <w:spacing w:line="240" w:lineRule="auto"/>
      </w:pPr>
      <w:r>
        <w:separator/>
      </w:r>
    </w:p>
  </w:footnote>
  <w:footnote w:type="continuationSeparator" w:id="0">
    <w:p w14:paraId="70918856" w14:textId="77777777" w:rsidR="00E3426D" w:rsidRDefault="00E342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F491" w14:textId="77777777" w:rsidR="00943CD1" w:rsidRDefault="00943CD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6E32" w14:textId="77777777" w:rsidR="00856AB9" w:rsidRDefault="00A57F39" w:rsidP="00A57F39">
    <w:pPr>
      <w:jc w:val="right"/>
    </w:pPr>
    <w:r>
      <w:rPr>
        <w:noProof/>
        <w:lang w:val="cs-CZ" w:eastAsia="cs-CZ"/>
      </w:rPr>
      <w:drawing>
        <wp:inline distT="0" distB="0" distL="0" distR="0" wp14:anchorId="2F1ACB5D" wp14:editId="31F88687">
          <wp:extent cx="537418" cy="554614"/>
          <wp:effectExtent l="0" t="0" r="0" b="4445"/>
          <wp:docPr id="7" name="Picture 7"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618876" cy="638678"/>
                  </a:xfrm>
                  <a:prstGeom prst="rect">
                    <a:avLst/>
                  </a:prstGeom>
                </pic:spPr>
              </pic:pic>
            </a:graphicData>
          </a:graphic>
        </wp:inline>
      </w:drawing>
    </w:r>
  </w:p>
  <w:p w14:paraId="35722B50" w14:textId="77777777" w:rsidR="005E3665" w:rsidRDefault="005E3665" w:rsidP="00A57F39">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5495" w14:textId="77777777" w:rsidR="00943CD1" w:rsidRDefault="00943CD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277"/>
    <w:multiLevelType w:val="hybridMultilevel"/>
    <w:tmpl w:val="735C0076"/>
    <w:lvl w:ilvl="0" w:tplc="FE74728C">
      <w:start w:val="1"/>
      <w:numFmt w:val="bullet"/>
      <w:lvlText w:val="•"/>
      <w:lvlJc w:val="left"/>
      <w:pPr>
        <w:tabs>
          <w:tab w:val="num" w:pos="720"/>
        </w:tabs>
        <w:ind w:left="720" w:hanging="360"/>
      </w:pPr>
      <w:rPr>
        <w:rFonts w:ascii="Arial" w:hAnsi="Arial" w:hint="default"/>
      </w:rPr>
    </w:lvl>
    <w:lvl w:ilvl="1" w:tplc="EDCC7002" w:tentative="1">
      <w:start w:val="1"/>
      <w:numFmt w:val="bullet"/>
      <w:lvlText w:val="•"/>
      <w:lvlJc w:val="left"/>
      <w:pPr>
        <w:tabs>
          <w:tab w:val="num" w:pos="1440"/>
        </w:tabs>
        <w:ind w:left="1440" w:hanging="360"/>
      </w:pPr>
      <w:rPr>
        <w:rFonts w:ascii="Arial" w:hAnsi="Arial" w:hint="default"/>
      </w:rPr>
    </w:lvl>
    <w:lvl w:ilvl="2" w:tplc="9FEEE040" w:tentative="1">
      <w:start w:val="1"/>
      <w:numFmt w:val="bullet"/>
      <w:lvlText w:val="•"/>
      <w:lvlJc w:val="left"/>
      <w:pPr>
        <w:tabs>
          <w:tab w:val="num" w:pos="2160"/>
        </w:tabs>
        <w:ind w:left="2160" w:hanging="360"/>
      </w:pPr>
      <w:rPr>
        <w:rFonts w:ascii="Arial" w:hAnsi="Arial" w:hint="default"/>
      </w:rPr>
    </w:lvl>
    <w:lvl w:ilvl="3" w:tplc="8B2CA122" w:tentative="1">
      <w:start w:val="1"/>
      <w:numFmt w:val="bullet"/>
      <w:lvlText w:val="•"/>
      <w:lvlJc w:val="left"/>
      <w:pPr>
        <w:tabs>
          <w:tab w:val="num" w:pos="2880"/>
        </w:tabs>
        <w:ind w:left="2880" w:hanging="360"/>
      </w:pPr>
      <w:rPr>
        <w:rFonts w:ascii="Arial" w:hAnsi="Arial" w:hint="default"/>
      </w:rPr>
    </w:lvl>
    <w:lvl w:ilvl="4" w:tplc="3E1E6356" w:tentative="1">
      <w:start w:val="1"/>
      <w:numFmt w:val="bullet"/>
      <w:lvlText w:val="•"/>
      <w:lvlJc w:val="left"/>
      <w:pPr>
        <w:tabs>
          <w:tab w:val="num" w:pos="3600"/>
        </w:tabs>
        <w:ind w:left="3600" w:hanging="360"/>
      </w:pPr>
      <w:rPr>
        <w:rFonts w:ascii="Arial" w:hAnsi="Arial" w:hint="default"/>
      </w:rPr>
    </w:lvl>
    <w:lvl w:ilvl="5" w:tplc="41FE17B4" w:tentative="1">
      <w:start w:val="1"/>
      <w:numFmt w:val="bullet"/>
      <w:lvlText w:val="•"/>
      <w:lvlJc w:val="left"/>
      <w:pPr>
        <w:tabs>
          <w:tab w:val="num" w:pos="4320"/>
        </w:tabs>
        <w:ind w:left="4320" w:hanging="360"/>
      </w:pPr>
      <w:rPr>
        <w:rFonts w:ascii="Arial" w:hAnsi="Arial" w:hint="default"/>
      </w:rPr>
    </w:lvl>
    <w:lvl w:ilvl="6" w:tplc="CC7EB354" w:tentative="1">
      <w:start w:val="1"/>
      <w:numFmt w:val="bullet"/>
      <w:lvlText w:val="•"/>
      <w:lvlJc w:val="left"/>
      <w:pPr>
        <w:tabs>
          <w:tab w:val="num" w:pos="5040"/>
        </w:tabs>
        <w:ind w:left="5040" w:hanging="360"/>
      </w:pPr>
      <w:rPr>
        <w:rFonts w:ascii="Arial" w:hAnsi="Arial" w:hint="default"/>
      </w:rPr>
    </w:lvl>
    <w:lvl w:ilvl="7" w:tplc="3FF60C90" w:tentative="1">
      <w:start w:val="1"/>
      <w:numFmt w:val="bullet"/>
      <w:lvlText w:val="•"/>
      <w:lvlJc w:val="left"/>
      <w:pPr>
        <w:tabs>
          <w:tab w:val="num" w:pos="5760"/>
        </w:tabs>
        <w:ind w:left="5760" w:hanging="360"/>
      </w:pPr>
      <w:rPr>
        <w:rFonts w:ascii="Arial" w:hAnsi="Arial" w:hint="default"/>
      </w:rPr>
    </w:lvl>
    <w:lvl w:ilvl="8" w:tplc="57560C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605C32"/>
    <w:multiLevelType w:val="hybridMultilevel"/>
    <w:tmpl w:val="5ADC2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9"/>
    <w:rsid w:val="00017939"/>
    <w:rsid w:val="000369A5"/>
    <w:rsid w:val="000406ED"/>
    <w:rsid w:val="0005579E"/>
    <w:rsid w:val="00066C25"/>
    <w:rsid w:val="000779B9"/>
    <w:rsid w:val="000A0D00"/>
    <w:rsid w:val="000A5478"/>
    <w:rsid w:val="000C5D4E"/>
    <w:rsid w:val="0014481F"/>
    <w:rsid w:val="00166C5E"/>
    <w:rsid w:val="00177004"/>
    <w:rsid w:val="00197679"/>
    <w:rsid w:val="001A151B"/>
    <w:rsid w:val="001A52B7"/>
    <w:rsid w:val="001A7F3F"/>
    <w:rsid w:val="001C2165"/>
    <w:rsid w:val="001C4D51"/>
    <w:rsid w:val="001E5CB4"/>
    <w:rsid w:val="0020440A"/>
    <w:rsid w:val="00264FB4"/>
    <w:rsid w:val="00294547"/>
    <w:rsid w:val="002A0CC4"/>
    <w:rsid w:val="00333A90"/>
    <w:rsid w:val="0035515F"/>
    <w:rsid w:val="00370E64"/>
    <w:rsid w:val="00381EB1"/>
    <w:rsid w:val="00384745"/>
    <w:rsid w:val="003922D0"/>
    <w:rsid w:val="003936AA"/>
    <w:rsid w:val="00393FD8"/>
    <w:rsid w:val="003E1DF5"/>
    <w:rsid w:val="00416D7B"/>
    <w:rsid w:val="00446DF0"/>
    <w:rsid w:val="0052089E"/>
    <w:rsid w:val="005B7B5D"/>
    <w:rsid w:val="005C2F32"/>
    <w:rsid w:val="005E3665"/>
    <w:rsid w:val="005F361F"/>
    <w:rsid w:val="0060790E"/>
    <w:rsid w:val="00621D43"/>
    <w:rsid w:val="006A57F0"/>
    <w:rsid w:val="006F36A7"/>
    <w:rsid w:val="00745F9A"/>
    <w:rsid w:val="00762E99"/>
    <w:rsid w:val="0081241D"/>
    <w:rsid w:val="00812545"/>
    <w:rsid w:val="00826640"/>
    <w:rsid w:val="0083384C"/>
    <w:rsid w:val="00856AB9"/>
    <w:rsid w:val="008C37CD"/>
    <w:rsid w:val="008D3547"/>
    <w:rsid w:val="008F7D0C"/>
    <w:rsid w:val="009152A2"/>
    <w:rsid w:val="00915E2F"/>
    <w:rsid w:val="00940AAC"/>
    <w:rsid w:val="00943CD1"/>
    <w:rsid w:val="0095412D"/>
    <w:rsid w:val="009C683C"/>
    <w:rsid w:val="009D2C80"/>
    <w:rsid w:val="009E046E"/>
    <w:rsid w:val="00A20A00"/>
    <w:rsid w:val="00A57F39"/>
    <w:rsid w:val="00A635F1"/>
    <w:rsid w:val="00A6457E"/>
    <w:rsid w:val="00A67A27"/>
    <w:rsid w:val="00A94A56"/>
    <w:rsid w:val="00B24C2D"/>
    <w:rsid w:val="00B30423"/>
    <w:rsid w:val="00B34198"/>
    <w:rsid w:val="00B552CB"/>
    <w:rsid w:val="00BE5B14"/>
    <w:rsid w:val="00C01E62"/>
    <w:rsid w:val="00C455FB"/>
    <w:rsid w:val="00C717FA"/>
    <w:rsid w:val="00C76EAC"/>
    <w:rsid w:val="00D06CFE"/>
    <w:rsid w:val="00D12E2B"/>
    <w:rsid w:val="00D47F0C"/>
    <w:rsid w:val="00D6296D"/>
    <w:rsid w:val="00D87C7C"/>
    <w:rsid w:val="00E039A9"/>
    <w:rsid w:val="00E23591"/>
    <w:rsid w:val="00E3426D"/>
    <w:rsid w:val="00E61764"/>
    <w:rsid w:val="00E646B4"/>
    <w:rsid w:val="00E70474"/>
    <w:rsid w:val="00E91F5D"/>
    <w:rsid w:val="00E96990"/>
    <w:rsid w:val="00EB41FD"/>
    <w:rsid w:val="00F64D52"/>
    <w:rsid w:val="00F71C37"/>
    <w:rsid w:val="00F72728"/>
    <w:rsid w:val="00F77821"/>
    <w:rsid w:val="00FA5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A88A"/>
  <w15:docId w15:val="{5DD78A83-458E-5F48-A1C6-AF3B1C7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FA52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57F39"/>
    <w:pPr>
      <w:tabs>
        <w:tab w:val="center" w:pos="4513"/>
        <w:tab w:val="right" w:pos="9026"/>
      </w:tabs>
      <w:spacing w:line="240" w:lineRule="auto"/>
    </w:pPr>
  </w:style>
  <w:style w:type="character" w:customStyle="1" w:styleId="ZhlavChar">
    <w:name w:val="Záhlaví Char"/>
    <w:basedOn w:val="Standardnpsmoodstavce"/>
    <w:link w:val="Zhlav"/>
    <w:uiPriority w:val="99"/>
    <w:rsid w:val="00A57F39"/>
  </w:style>
  <w:style w:type="paragraph" w:styleId="Zpat">
    <w:name w:val="footer"/>
    <w:basedOn w:val="Normln"/>
    <w:link w:val="ZpatChar"/>
    <w:uiPriority w:val="99"/>
    <w:unhideWhenUsed/>
    <w:rsid w:val="00A57F39"/>
    <w:pPr>
      <w:tabs>
        <w:tab w:val="center" w:pos="4513"/>
        <w:tab w:val="right" w:pos="9026"/>
      </w:tabs>
      <w:spacing w:line="240" w:lineRule="auto"/>
    </w:pPr>
  </w:style>
  <w:style w:type="character" w:customStyle="1" w:styleId="ZpatChar">
    <w:name w:val="Zápatí Char"/>
    <w:basedOn w:val="Standardnpsmoodstavce"/>
    <w:link w:val="Zpat"/>
    <w:uiPriority w:val="99"/>
    <w:rsid w:val="00A57F39"/>
  </w:style>
  <w:style w:type="paragraph" w:customStyle="1" w:styleId="Default">
    <w:name w:val="Default"/>
    <w:rsid w:val="005E3665"/>
    <w:pPr>
      <w:autoSpaceDE w:val="0"/>
      <w:autoSpaceDN w:val="0"/>
      <w:adjustRightInd w:val="0"/>
      <w:spacing w:line="240" w:lineRule="auto"/>
    </w:pPr>
    <w:rPr>
      <w:rFonts w:ascii="PT Sans" w:hAnsi="PT Sans" w:cs="PT Sans"/>
      <w:color w:val="000000"/>
      <w:sz w:val="24"/>
      <w:szCs w:val="24"/>
      <w:lang w:val="en-GB"/>
    </w:rPr>
  </w:style>
  <w:style w:type="character" w:customStyle="1" w:styleId="Nadpis7Char">
    <w:name w:val="Nadpis 7 Char"/>
    <w:basedOn w:val="Standardnpsmoodstavce"/>
    <w:link w:val="Nadpis7"/>
    <w:uiPriority w:val="9"/>
    <w:semiHidden/>
    <w:rsid w:val="00FA52D6"/>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FA52D6"/>
    <w:rPr>
      <w:color w:val="0000FF" w:themeColor="hyperlink"/>
      <w:u w:val="single"/>
    </w:rPr>
  </w:style>
  <w:style w:type="paragraph" w:styleId="Odstavecseseznamem">
    <w:name w:val="List Paragraph"/>
    <w:basedOn w:val="Normln"/>
    <w:uiPriority w:val="34"/>
    <w:qFormat/>
    <w:rsid w:val="00B34198"/>
    <w:pPr>
      <w:ind w:left="720"/>
      <w:contextualSpacing/>
    </w:pPr>
  </w:style>
  <w:style w:type="paragraph" w:styleId="Textbubliny">
    <w:name w:val="Balloon Text"/>
    <w:basedOn w:val="Normln"/>
    <w:link w:val="TextbublinyChar"/>
    <w:uiPriority w:val="99"/>
    <w:semiHidden/>
    <w:unhideWhenUsed/>
    <w:rsid w:val="00264F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5867">
      <w:bodyDiv w:val="1"/>
      <w:marLeft w:val="0"/>
      <w:marRight w:val="0"/>
      <w:marTop w:val="0"/>
      <w:marBottom w:val="0"/>
      <w:divBdr>
        <w:top w:val="none" w:sz="0" w:space="0" w:color="auto"/>
        <w:left w:val="none" w:sz="0" w:space="0" w:color="auto"/>
        <w:bottom w:val="none" w:sz="0" w:space="0" w:color="auto"/>
        <w:right w:val="none" w:sz="0" w:space="0" w:color="auto"/>
      </w:divBdr>
      <w:divsChild>
        <w:div w:id="637494506">
          <w:marLeft w:val="0"/>
          <w:marRight w:val="0"/>
          <w:marTop w:val="0"/>
          <w:marBottom w:val="0"/>
          <w:divBdr>
            <w:top w:val="none" w:sz="0" w:space="0" w:color="auto"/>
            <w:left w:val="none" w:sz="0" w:space="0" w:color="auto"/>
            <w:bottom w:val="none" w:sz="0" w:space="0" w:color="auto"/>
            <w:right w:val="none" w:sz="0" w:space="0" w:color="auto"/>
          </w:divBdr>
        </w:div>
        <w:div w:id="212809057">
          <w:marLeft w:val="0"/>
          <w:marRight w:val="0"/>
          <w:marTop w:val="0"/>
          <w:marBottom w:val="0"/>
          <w:divBdr>
            <w:top w:val="none" w:sz="0" w:space="0" w:color="auto"/>
            <w:left w:val="none" w:sz="0" w:space="0" w:color="auto"/>
            <w:bottom w:val="none" w:sz="0" w:space="0" w:color="auto"/>
            <w:right w:val="none" w:sz="0" w:space="0" w:color="auto"/>
          </w:divBdr>
        </w:div>
        <w:div w:id="1607348133">
          <w:marLeft w:val="0"/>
          <w:marRight w:val="0"/>
          <w:marTop w:val="0"/>
          <w:marBottom w:val="0"/>
          <w:divBdr>
            <w:top w:val="none" w:sz="0" w:space="0" w:color="auto"/>
            <w:left w:val="none" w:sz="0" w:space="0" w:color="auto"/>
            <w:bottom w:val="none" w:sz="0" w:space="0" w:color="auto"/>
            <w:right w:val="none" w:sz="0" w:space="0" w:color="auto"/>
          </w:divBdr>
        </w:div>
        <w:div w:id="1906601790">
          <w:marLeft w:val="0"/>
          <w:marRight w:val="0"/>
          <w:marTop w:val="0"/>
          <w:marBottom w:val="0"/>
          <w:divBdr>
            <w:top w:val="none" w:sz="0" w:space="0" w:color="auto"/>
            <w:left w:val="none" w:sz="0" w:space="0" w:color="auto"/>
            <w:bottom w:val="none" w:sz="0" w:space="0" w:color="auto"/>
            <w:right w:val="none" w:sz="0" w:space="0" w:color="auto"/>
          </w:divBdr>
        </w:div>
        <w:div w:id="1243443782">
          <w:marLeft w:val="0"/>
          <w:marRight w:val="0"/>
          <w:marTop w:val="0"/>
          <w:marBottom w:val="0"/>
          <w:divBdr>
            <w:top w:val="none" w:sz="0" w:space="0" w:color="auto"/>
            <w:left w:val="none" w:sz="0" w:space="0" w:color="auto"/>
            <w:bottom w:val="none" w:sz="0" w:space="0" w:color="auto"/>
            <w:right w:val="none" w:sz="0" w:space="0" w:color="auto"/>
          </w:divBdr>
        </w:div>
      </w:divsChild>
    </w:div>
    <w:div w:id="1477868197">
      <w:bodyDiv w:val="1"/>
      <w:marLeft w:val="0"/>
      <w:marRight w:val="0"/>
      <w:marTop w:val="0"/>
      <w:marBottom w:val="0"/>
      <w:divBdr>
        <w:top w:val="none" w:sz="0" w:space="0" w:color="auto"/>
        <w:left w:val="none" w:sz="0" w:space="0" w:color="auto"/>
        <w:bottom w:val="none" w:sz="0" w:space="0" w:color="auto"/>
        <w:right w:val="none" w:sz="0" w:space="0" w:color="auto"/>
      </w:divBdr>
      <w:divsChild>
        <w:div w:id="92676685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ndanovesvobody.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inst.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ndanovesvobody.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Dropbox\4_Libinst\30%20Projekty\DDS\DDS%202022\dds_vyvoj%202022_j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ropbox\4_Libinst\30%20Projekty\DDS\DDS%202022\dds_srovnani_prepocitane%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panose="02020603050405020304" pitchFamily="18" charset="0"/>
                <a:ea typeface="+mn-ea"/>
                <a:cs typeface="Times" panose="02020603050405020304" pitchFamily="18" charset="0"/>
              </a:defRPr>
            </a:pPr>
            <a:r>
              <a:rPr lang="en-US" sz="2000" b="1">
                <a:latin typeface="PT Sans" panose="020B0503020203020204" pitchFamily="34" charset="-18"/>
                <a:cs typeface="Times" panose="02020603050405020304" pitchFamily="18" charset="0"/>
              </a:rPr>
              <a:t>Den daňové svobody</a:t>
            </a:r>
          </a:p>
        </c:rich>
      </c:tx>
      <c:layout>
        <c:manualLayout>
          <c:xMode val="edge"/>
          <c:yMode val="edge"/>
          <c:x val="0.19257260718998148"/>
          <c:y val="5.0028266706541744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title>
    <c:autoTitleDeleted val="0"/>
    <c:plotArea>
      <c:layout>
        <c:manualLayout>
          <c:layoutTarget val="inner"/>
          <c:xMode val="edge"/>
          <c:yMode val="edge"/>
          <c:x val="5.8124898637355073E-2"/>
          <c:y val="3.6200716845878146E-2"/>
          <c:w val="0.87324158565929577"/>
          <c:h val="0.83055712863478259"/>
        </c:manualLayout>
      </c:layout>
      <c:barChart>
        <c:barDir val="col"/>
        <c:grouping val="clustered"/>
        <c:varyColors val="0"/>
        <c:ser>
          <c:idx val="0"/>
          <c:order val="0"/>
          <c:tx>
            <c:strRef>
              <c:f>data!$D$29</c:f>
              <c:strCache>
                <c:ptCount val="1"/>
                <c:pt idx="0">
                  <c:v>Počet dní práce na stát</c:v>
                </c:pt>
              </c:strCache>
            </c:strRef>
          </c:tx>
          <c:spPr>
            <a:gradFill>
              <a:gsLst>
                <a:gs pos="0">
                  <a:schemeClr val="tx1">
                    <a:lumMod val="65000"/>
                    <a:lumOff val="3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invertIfNegative val="0"/>
          <c:dPt>
            <c:idx val="9"/>
            <c:invertIfNegative val="0"/>
            <c:bubble3D val="0"/>
            <c:extLst>
              <c:ext xmlns:c16="http://schemas.microsoft.com/office/drawing/2014/chart" uri="{C3380CC4-5D6E-409C-BE32-E72D297353CC}">
                <c16:uniqueId val="{00000001-65DE-4A26-B67E-E69E4BE33435}"/>
              </c:ext>
            </c:extLst>
          </c:dPt>
          <c:dPt>
            <c:idx val="10"/>
            <c:invertIfNegative val="0"/>
            <c:bubble3D val="0"/>
            <c:spPr>
              <a:gradFill>
                <a:gsLst>
                  <a:gs pos="0">
                    <a:schemeClr val="tx1">
                      <a:lumMod val="95000"/>
                      <a:lumOff val="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3-65DE-4A26-B67E-E69E4BE33435}"/>
              </c:ext>
            </c:extLst>
          </c:dPt>
          <c:dPt>
            <c:idx val="11"/>
            <c:invertIfNegative val="0"/>
            <c:bubble3D val="0"/>
            <c:spPr>
              <a:gradFill>
                <a:gsLst>
                  <a:gs pos="0">
                    <a:schemeClr val="tx1"/>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5-65DE-4A26-B67E-E69E4BE33435}"/>
              </c:ext>
            </c:extLst>
          </c:dPt>
          <c:dPt>
            <c:idx val="20"/>
            <c:invertIfNegative val="0"/>
            <c:bubble3D val="0"/>
            <c:extLst>
              <c:ext xmlns:c16="http://schemas.microsoft.com/office/drawing/2014/chart" uri="{C3380CC4-5D6E-409C-BE32-E72D297353CC}">
                <c16:uniqueId val="{00000007-65DE-4A26-B67E-E69E4BE33435}"/>
              </c:ext>
            </c:extLst>
          </c:dPt>
          <c:cat>
            <c:strRef>
              <c:f>data!$A$43:$A$52</c:f>
              <c:strCache>
                <c:ptCount val="10"/>
                <c:pt idx="0">
                  <c:v>'13</c:v>
                </c:pt>
                <c:pt idx="1">
                  <c:v>'14</c:v>
                </c:pt>
                <c:pt idx="2">
                  <c:v>'15</c:v>
                </c:pt>
                <c:pt idx="3">
                  <c:v>'16</c:v>
                </c:pt>
                <c:pt idx="4">
                  <c:v>'17</c:v>
                </c:pt>
                <c:pt idx="5">
                  <c:v>'18</c:v>
                </c:pt>
                <c:pt idx="6">
                  <c:v>'19</c:v>
                </c:pt>
                <c:pt idx="7">
                  <c:v>'20</c:v>
                </c:pt>
                <c:pt idx="8">
                  <c:v>'21</c:v>
                </c:pt>
                <c:pt idx="9">
                  <c:v>'22</c:v>
                </c:pt>
              </c:strCache>
            </c:strRef>
          </c:cat>
          <c:val>
            <c:numRef>
              <c:f>data!$D$43:$D$52</c:f>
              <c:numCache>
                <c:formatCode>General</c:formatCode>
                <c:ptCount val="10"/>
                <c:pt idx="0">
                  <c:v>161</c:v>
                </c:pt>
                <c:pt idx="1">
                  <c:v>160</c:v>
                </c:pt>
                <c:pt idx="2">
                  <c:v>155</c:v>
                </c:pt>
                <c:pt idx="3">
                  <c:v>153</c:v>
                </c:pt>
                <c:pt idx="4">
                  <c:v>149</c:v>
                </c:pt>
                <c:pt idx="5">
                  <c:v>142</c:v>
                </c:pt>
                <c:pt idx="6">
                  <c:v>148</c:v>
                </c:pt>
                <c:pt idx="7">
                  <c:v>175</c:v>
                </c:pt>
                <c:pt idx="8">
                  <c:v>175</c:v>
                </c:pt>
                <c:pt idx="9">
                  <c:v>167</c:v>
                </c:pt>
              </c:numCache>
            </c:numRef>
          </c:val>
          <c:extLst>
            <c:ext xmlns:c16="http://schemas.microsoft.com/office/drawing/2014/chart" uri="{C3380CC4-5D6E-409C-BE32-E72D297353CC}">
              <c16:uniqueId val="{00000008-65DE-4A26-B67E-E69E4BE33435}"/>
            </c:ext>
          </c:extLst>
        </c:ser>
        <c:dLbls>
          <c:showLegendKey val="0"/>
          <c:showVal val="0"/>
          <c:showCatName val="0"/>
          <c:showSerName val="0"/>
          <c:showPercent val="0"/>
          <c:showBubbleSize val="0"/>
        </c:dLbls>
        <c:gapWidth val="99"/>
        <c:overlap val="-47"/>
        <c:axId val="58473088"/>
        <c:axId val="58479360"/>
      </c:barChart>
      <c:lineChart>
        <c:grouping val="standard"/>
        <c:varyColors val="0"/>
        <c:ser>
          <c:idx val="1"/>
          <c:order val="1"/>
          <c:tx>
            <c:strRef>
              <c:f>data!$C$29</c:f>
              <c:strCache>
                <c:ptCount val="1"/>
                <c:pt idx="0">
                  <c:v>Den daňové svobody</c:v>
                </c:pt>
              </c:strCache>
            </c:strRef>
          </c:tx>
          <c:spPr>
            <a:ln w="28575" cap="rnd">
              <a:solidFill>
                <a:srgbClr val="F9D83D"/>
              </a:solidFill>
              <a:round/>
            </a:ln>
            <a:effectLst/>
          </c:spPr>
          <c:marker>
            <c:symbol val="circle"/>
            <c:size val="7"/>
            <c:spPr>
              <a:solidFill>
                <a:srgbClr val="F9D83D"/>
              </a:solidFill>
              <a:ln w="9525">
                <a:solidFill>
                  <a:srgbClr val="FFFF00"/>
                </a:solidFill>
              </a:ln>
              <a:effectLst/>
            </c:spPr>
          </c:marker>
          <c:cat>
            <c:strRef>
              <c:f>data!$A$43:$A$52</c:f>
              <c:strCache>
                <c:ptCount val="10"/>
                <c:pt idx="0">
                  <c:v>'13</c:v>
                </c:pt>
                <c:pt idx="1">
                  <c:v>'14</c:v>
                </c:pt>
                <c:pt idx="2">
                  <c:v>'15</c:v>
                </c:pt>
                <c:pt idx="3">
                  <c:v>'16</c:v>
                </c:pt>
                <c:pt idx="4">
                  <c:v>'17</c:v>
                </c:pt>
                <c:pt idx="5">
                  <c:v>'18</c:v>
                </c:pt>
                <c:pt idx="6">
                  <c:v>'19</c:v>
                </c:pt>
                <c:pt idx="7">
                  <c:v>'20</c:v>
                </c:pt>
                <c:pt idx="8">
                  <c:v>'21</c:v>
                </c:pt>
                <c:pt idx="9">
                  <c:v>'22</c:v>
                </c:pt>
              </c:strCache>
            </c:strRef>
          </c:cat>
          <c:val>
            <c:numRef>
              <c:f>data!$C$43:$C$52</c:f>
              <c:numCache>
                <c:formatCode>d\.m\.;@</c:formatCode>
                <c:ptCount val="10"/>
                <c:pt idx="0">
                  <c:v>38879</c:v>
                </c:pt>
                <c:pt idx="1">
                  <c:v>38878</c:v>
                </c:pt>
                <c:pt idx="2">
                  <c:v>38873</c:v>
                </c:pt>
                <c:pt idx="3">
                  <c:v>38870</c:v>
                </c:pt>
                <c:pt idx="4">
                  <c:v>38866</c:v>
                </c:pt>
                <c:pt idx="5">
                  <c:v>38859</c:v>
                </c:pt>
                <c:pt idx="6">
                  <c:v>38865</c:v>
                </c:pt>
                <c:pt idx="7">
                  <c:v>38892</c:v>
                </c:pt>
                <c:pt idx="8">
                  <c:v>38893</c:v>
                </c:pt>
                <c:pt idx="9">
                  <c:v>38885</c:v>
                </c:pt>
              </c:numCache>
            </c:numRef>
          </c:val>
          <c:smooth val="0"/>
          <c:extLst>
            <c:ext xmlns:c16="http://schemas.microsoft.com/office/drawing/2014/chart" uri="{C3380CC4-5D6E-409C-BE32-E72D297353CC}">
              <c16:uniqueId val="{00000009-65DE-4A26-B67E-E69E4BE33435}"/>
            </c:ext>
          </c:extLst>
        </c:ser>
        <c:dLbls>
          <c:showLegendKey val="0"/>
          <c:showVal val="0"/>
          <c:showCatName val="0"/>
          <c:showSerName val="0"/>
          <c:showPercent val="0"/>
          <c:showBubbleSize val="0"/>
        </c:dLbls>
        <c:marker val="1"/>
        <c:smooth val="0"/>
        <c:axId val="58494976"/>
        <c:axId val="58480896"/>
      </c:lineChart>
      <c:catAx>
        <c:axId val="5847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crossAx val="58479360"/>
        <c:crosses val="autoZero"/>
        <c:auto val="1"/>
        <c:lblAlgn val="ctr"/>
        <c:lblOffset val="100"/>
        <c:noMultiLvlLbl val="0"/>
      </c:catAx>
      <c:valAx>
        <c:axId val="58479360"/>
        <c:scaling>
          <c:orientation val="minMax"/>
          <c:min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PT Sans" panose="020B0503020203020204" pitchFamily="34" charset="-18"/>
                <a:ea typeface="+mn-ea"/>
                <a:cs typeface="Times" panose="02020603050405020304" pitchFamily="18" charset="0"/>
              </a:defRPr>
            </a:pPr>
            <a:endParaRPr lang="cs-CZ"/>
          </a:p>
        </c:txPr>
        <c:crossAx val="58473088"/>
        <c:crosses val="autoZero"/>
        <c:crossBetween val="between"/>
      </c:valAx>
      <c:valAx>
        <c:axId val="58480896"/>
        <c:scaling>
          <c:orientation val="minMax"/>
          <c:min val="38838"/>
        </c:scaling>
        <c:delete val="0"/>
        <c:axPos val="r"/>
        <c:numFmt formatCode="d/m;@"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PT Sans" panose="020B0503020203020204" pitchFamily="34" charset="-18"/>
                <a:ea typeface="+mn-ea"/>
                <a:cs typeface="Times" panose="02020603050405020304" pitchFamily="18" charset="0"/>
              </a:defRPr>
            </a:pPr>
            <a:endParaRPr lang="cs-CZ"/>
          </a:p>
        </c:txPr>
        <c:crossAx val="58494976"/>
        <c:crosses val="max"/>
        <c:crossBetween val="between"/>
      </c:valAx>
      <c:catAx>
        <c:axId val="58494976"/>
        <c:scaling>
          <c:orientation val="minMax"/>
        </c:scaling>
        <c:delete val="1"/>
        <c:axPos val="b"/>
        <c:numFmt formatCode="General" sourceLinked="1"/>
        <c:majorTickMark val="out"/>
        <c:minorTickMark val="none"/>
        <c:tickLblPos val="nextTo"/>
        <c:crossAx val="58480896"/>
        <c:crosses val="autoZero"/>
        <c:auto val="1"/>
        <c:lblAlgn val="ctr"/>
        <c:lblOffset val="100"/>
        <c:noMultiLvlLbl val="0"/>
      </c:catAx>
      <c:spPr>
        <a:noFill/>
        <a:ln>
          <a:noFill/>
        </a:ln>
        <a:effectLst/>
      </c:spPr>
    </c:plotArea>
    <c:legend>
      <c:legendPos val="b"/>
      <c:layout>
        <c:manualLayout>
          <c:xMode val="edge"/>
          <c:yMode val="edge"/>
          <c:x val="0.19571677284058087"/>
          <c:y val="0.93307416833199552"/>
          <c:w val="0.60852688640050634"/>
          <c:h val="6.0449298676375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18"/>
              <a:ea typeface="+mn-ea"/>
              <a:cs typeface="Times" panose="02020603050405020304" pitchFamily="18"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Sans" panose="020B0503020203020204" pitchFamily="34" charset="0"/>
                <a:ea typeface="+mn-ea"/>
                <a:cs typeface="+mn-cs"/>
              </a:defRPr>
            </a:pPr>
            <a:r>
              <a:rPr lang="cs-CZ" b="1">
                <a:solidFill>
                  <a:schemeClr val="tx1"/>
                </a:solidFill>
              </a:rPr>
              <a:t>Den daňové svobody 2022</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Sans" panose="020B0503020203020204" pitchFamily="34" charset="0"/>
              <a:ea typeface="+mn-ea"/>
              <a:cs typeface="+mn-cs"/>
            </a:defRPr>
          </a:pPr>
          <a:endParaRPr lang="cs-CZ"/>
        </a:p>
      </c:txPr>
    </c:title>
    <c:autoTitleDeleted val="0"/>
    <c:plotArea>
      <c:layout/>
      <c:barChart>
        <c:barDir val="bar"/>
        <c:grouping val="clustered"/>
        <c:varyColors val="0"/>
        <c:ser>
          <c:idx val="0"/>
          <c:order val="0"/>
          <c:tx>
            <c:strRef>
              <c:f>'Graf zemí'!$B$1</c:f>
              <c:strCache>
                <c:ptCount val="1"/>
                <c:pt idx="0">
                  <c:v>2022</c:v>
                </c:pt>
              </c:strCache>
            </c:strRef>
          </c:tx>
          <c:spPr>
            <a:solidFill>
              <a:schemeClr val="accent1"/>
            </a:solidFill>
            <a:ln>
              <a:noFill/>
            </a:ln>
            <a:effectLst/>
          </c:spPr>
          <c:invertIfNegative val="0"/>
          <c:dPt>
            <c:idx val="9"/>
            <c:invertIfNegative val="0"/>
            <c:bubble3D val="0"/>
            <c:extLst>
              <c:ext xmlns:c16="http://schemas.microsoft.com/office/drawing/2014/chart" uri="{C3380CC4-5D6E-409C-BE32-E72D297353CC}">
                <c16:uniqueId val="{00000001-2A0B-495E-BD1F-815BAE6BD0DE}"/>
              </c:ext>
            </c:extLst>
          </c:dPt>
          <c:dPt>
            <c:idx val="29"/>
            <c:invertIfNegative val="0"/>
            <c:bubble3D val="0"/>
            <c:extLst>
              <c:ext xmlns:c16="http://schemas.microsoft.com/office/drawing/2014/chart" uri="{C3380CC4-5D6E-409C-BE32-E72D297353CC}">
                <c16:uniqueId val="{00000003-2A0B-495E-BD1F-815BAE6BD0DE}"/>
              </c:ext>
            </c:extLst>
          </c:dPt>
          <c:dPt>
            <c:idx val="32"/>
            <c:invertIfNegative val="0"/>
            <c:bubble3D val="0"/>
            <c:extLst>
              <c:ext xmlns:c16="http://schemas.microsoft.com/office/drawing/2014/chart" uri="{C3380CC4-5D6E-409C-BE32-E72D297353CC}">
                <c16:uniqueId val="{00000005-2A0B-495E-BD1F-815BAE6BD0DE}"/>
              </c:ext>
            </c:extLst>
          </c:dPt>
          <c:dPt>
            <c:idx val="33"/>
            <c:invertIfNegative val="0"/>
            <c:bubble3D val="0"/>
            <c:spPr>
              <a:solidFill>
                <a:srgbClr val="FFFF00"/>
              </a:solidFill>
              <a:ln>
                <a:noFill/>
              </a:ln>
              <a:effectLst/>
            </c:spPr>
            <c:extLst>
              <c:ext xmlns:c16="http://schemas.microsoft.com/office/drawing/2014/chart" uri="{C3380CC4-5D6E-409C-BE32-E72D297353CC}">
                <c16:uniqueId val="{00000007-2A0B-495E-BD1F-815BAE6BD0DE}"/>
              </c:ext>
            </c:extLst>
          </c:dPt>
          <c:dLbls>
            <c:dLbl>
              <c:idx val="0"/>
              <c:layout>
                <c:manualLayout>
                  <c:x val="-8.0570191651320976E-3"/>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0B-495E-BD1F-815BAE6BD0DE}"/>
                </c:ext>
              </c:extLst>
            </c:dLbl>
            <c:dLbl>
              <c:idx val="1"/>
              <c:layout>
                <c:manualLayout>
                  <c:x val="-2.6856730550441307E-3"/>
                  <c:y val="7.04540078455797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0B-495E-BD1F-815BAE6BD0DE}"/>
                </c:ext>
              </c:extLst>
            </c:dLbl>
            <c:dLbl>
              <c:idx val="2"/>
              <c:layout>
                <c:manualLayout>
                  <c:x val="-5.3713461100880645E-3"/>
                  <c:y val="5.63632062764656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0B-495E-BD1F-815BAE6BD0DE}"/>
                </c:ext>
              </c:extLst>
            </c:dLbl>
            <c:dLbl>
              <c:idx val="3"/>
              <c:layout>
                <c:manualLayout>
                  <c:x val="-1.6114038330264195E-2"/>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0B-495E-BD1F-815BAE6BD0DE}"/>
                </c:ext>
              </c:extLst>
            </c:dLbl>
            <c:dLbl>
              <c:idx val="4"/>
              <c:layout>
                <c:manualLayout>
                  <c:x val="-8.0570191651320976E-3"/>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0B-495E-BD1F-815BAE6BD0DE}"/>
                </c:ext>
              </c:extLst>
            </c:dLbl>
            <c:dLbl>
              <c:idx val="5"/>
              <c:layout>
                <c:manualLayout>
                  <c:x val="-1.0742692220176129E-2"/>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0B-495E-BD1F-815BAE6BD0DE}"/>
                </c:ext>
              </c:extLst>
            </c:dLbl>
            <c:dLbl>
              <c:idx val="6"/>
              <c:layout>
                <c:manualLayout>
                  <c:x val="-8.0570191651320976E-3"/>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A0B-495E-BD1F-815BAE6BD0DE}"/>
                </c:ext>
              </c:extLst>
            </c:dLbl>
            <c:dLbl>
              <c:idx val="7"/>
              <c:layout>
                <c:manualLayout>
                  <c:x val="0"/>
                  <c:y val="7.04540078455797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A0B-495E-BD1F-815BAE6BD0DE}"/>
                </c:ext>
              </c:extLst>
            </c:dLbl>
            <c:dLbl>
              <c:idx val="8"/>
              <c:layout>
                <c:manualLayout>
                  <c:x val="-1.3428365275220162E-2"/>
                  <c:y val="5.63632062764656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A0B-495E-BD1F-815BAE6BD0DE}"/>
                </c:ext>
              </c:extLst>
            </c:dLbl>
            <c:dLbl>
              <c:idx val="9"/>
              <c:layout>
                <c:manualLayout>
                  <c:x val="-1.6114038330264195E-2"/>
                  <c:y val="5.63632062764635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0B-495E-BD1F-815BAE6BD0DE}"/>
                </c:ext>
              </c:extLst>
            </c:dLbl>
            <c:dLbl>
              <c:idx val="10"/>
              <c:layout>
                <c:manualLayout>
                  <c:x val="-5.3713461100881633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A0B-495E-BD1F-815BAE6BD0DE}"/>
                </c:ext>
              </c:extLst>
            </c:dLbl>
            <c:dLbl>
              <c:idx val="11"/>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A0B-495E-BD1F-815BAE6BD0DE}"/>
                </c:ext>
              </c:extLst>
            </c:dLbl>
            <c:dLbl>
              <c:idx val="12"/>
              <c:layout>
                <c:manualLayout>
                  <c:x val="-1.0742692220176228E-2"/>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A0B-495E-BD1F-815BAE6BD0DE}"/>
                </c:ext>
              </c:extLst>
            </c:dLbl>
            <c:dLbl>
              <c:idx val="13"/>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A0B-495E-BD1F-815BAE6BD0DE}"/>
                </c:ext>
              </c:extLst>
            </c:dLbl>
            <c:dLbl>
              <c:idx val="14"/>
              <c:layout>
                <c:manualLayout>
                  <c:x val="0"/>
                  <c:y val="7.04540078455807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A0B-495E-BD1F-815BAE6BD0DE}"/>
                </c:ext>
              </c:extLst>
            </c:dLbl>
            <c:dLbl>
              <c:idx val="15"/>
              <c:layout>
                <c:manualLayout>
                  <c:x val="-5.3713461100880645E-3"/>
                  <c:y val="2.81816031382312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A0B-495E-BD1F-815BAE6BD0DE}"/>
                </c:ext>
              </c:extLst>
            </c:dLbl>
            <c:dLbl>
              <c:idx val="16"/>
              <c:layout>
                <c:manualLayout>
                  <c:x val="-1.0742692220176032E-2"/>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A0B-495E-BD1F-815BAE6BD0DE}"/>
                </c:ext>
              </c:extLst>
            </c:dLbl>
            <c:dLbl>
              <c:idx val="17"/>
              <c:layout>
                <c:manualLayout>
                  <c:x val="0"/>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A0B-495E-BD1F-815BAE6BD0DE}"/>
                </c:ext>
              </c:extLst>
            </c:dLbl>
            <c:dLbl>
              <c:idx val="18"/>
              <c:layout>
                <c:manualLayout>
                  <c:x val="-2.6856730550441307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A0B-495E-BD1F-815BAE6BD0DE}"/>
                </c:ext>
              </c:extLst>
            </c:dLbl>
            <c:dLbl>
              <c:idx val="20"/>
              <c:layout>
                <c:manualLayout>
                  <c:x val="-1.0742692220176129E-2"/>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A0B-495E-BD1F-815BAE6BD0DE}"/>
                </c:ext>
              </c:extLst>
            </c:dLbl>
            <c:dLbl>
              <c:idx val="21"/>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A0B-495E-BD1F-815BAE6BD0DE}"/>
                </c:ext>
              </c:extLst>
            </c:dLbl>
            <c:dLbl>
              <c:idx val="22"/>
              <c:layout>
                <c:manualLayout>
                  <c:x val="0"/>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A0B-495E-BD1F-815BAE6BD0DE}"/>
                </c:ext>
              </c:extLst>
            </c:dLbl>
            <c:dLbl>
              <c:idx val="23"/>
              <c:layout>
                <c:manualLayout>
                  <c:x val="0"/>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2A0B-495E-BD1F-815BAE6BD0DE}"/>
                </c:ext>
              </c:extLst>
            </c:dLbl>
            <c:dLbl>
              <c:idx val="24"/>
              <c:layout>
                <c:manualLayout>
                  <c:x val="0"/>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A0B-495E-BD1F-815BAE6BD0DE}"/>
                </c:ext>
              </c:extLst>
            </c:dLbl>
            <c:dLbl>
              <c:idx val="25"/>
              <c:layout>
                <c:manualLayout>
                  <c:x val="0"/>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A0B-495E-BD1F-815BAE6BD0DE}"/>
                </c:ext>
              </c:extLst>
            </c:dLbl>
            <c:dLbl>
              <c:idx val="26"/>
              <c:layout>
                <c:manualLayout>
                  <c:x val="-5.3713461100881633E-3"/>
                  <c:y val="4.22724047073479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A0B-495E-BD1F-815BAE6BD0DE}"/>
                </c:ext>
              </c:extLst>
            </c:dLbl>
            <c:dLbl>
              <c:idx val="27"/>
              <c:layout>
                <c:manualLayout>
                  <c:x val="-8.0570191651320976E-3"/>
                  <c:y val="4.22724047073479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A0B-495E-BD1F-815BAE6BD0DE}"/>
                </c:ext>
              </c:extLst>
            </c:dLbl>
            <c:dLbl>
              <c:idx val="28"/>
              <c:layout>
                <c:manualLayout>
                  <c:x val="-8.0570191651321461E-3"/>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A0B-495E-BD1F-815BAE6BD0DE}"/>
                </c:ext>
              </c:extLst>
            </c:dLbl>
            <c:dLbl>
              <c:idx val="29"/>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0B-495E-BD1F-815BAE6BD0DE}"/>
                </c:ext>
              </c:extLst>
            </c:dLbl>
            <c:dLbl>
              <c:idx val="30"/>
              <c:layout>
                <c:manualLayout>
                  <c:x val="-5.3713461100881633E-3"/>
                  <c:y val="2.81816031382320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A0B-495E-BD1F-815BAE6BD0DE}"/>
                </c:ext>
              </c:extLst>
            </c:dLbl>
            <c:dLbl>
              <c:idx val="31"/>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2A0B-495E-BD1F-815BAE6BD0DE}"/>
                </c:ext>
              </c:extLst>
            </c:dLbl>
            <c:dLbl>
              <c:idx val="33"/>
              <c:layout>
                <c:manualLayout>
                  <c:x val="-1.3428365275220162E-2"/>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0B-495E-BD1F-815BAE6BD0DE}"/>
                </c:ext>
              </c:extLst>
            </c:dLbl>
            <c:dLbl>
              <c:idx val="34"/>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2A0B-495E-BD1F-815BAE6BD0DE}"/>
                </c:ext>
              </c:extLst>
            </c:dLbl>
            <c:dLbl>
              <c:idx val="35"/>
              <c:layout>
                <c:manualLayout>
                  <c:x val="-2.6856730550440322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2A0B-495E-BD1F-815BAE6BD0D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Sans" panose="020B0503020203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zemí'!$A$2:$A$37</c:f>
              <c:strCache>
                <c:ptCount val="36"/>
                <c:pt idx="0">
                  <c:v>Průměr OECD</c:v>
                </c:pt>
                <c:pt idx="1">
                  <c:v>Eurozóna</c:v>
                </c:pt>
                <c:pt idx="2">
                  <c:v>Velká Británie</c:v>
                </c:pt>
                <c:pt idx="3">
                  <c:v>Švýcarsko</c:v>
                </c:pt>
                <c:pt idx="4">
                  <c:v>Švédsko</c:v>
                </c:pt>
                <c:pt idx="5">
                  <c:v>Španělsko</c:v>
                </c:pt>
                <c:pt idx="6">
                  <c:v>Spojené státy</c:v>
                </c:pt>
                <c:pt idx="7">
                  <c:v>Slovinsko</c:v>
                </c:pt>
                <c:pt idx="8">
                  <c:v>Slovensko</c:v>
                </c:pt>
                <c:pt idx="9">
                  <c:v>Řecko</c:v>
                </c:pt>
                <c:pt idx="10">
                  <c:v>Rakousko</c:v>
                </c:pt>
                <c:pt idx="11">
                  <c:v>Portugalsko</c:v>
                </c:pt>
                <c:pt idx="12">
                  <c:v>Polsko</c:v>
                </c:pt>
                <c:pt idx="13">
                  <c:v>Nový Zéland</c:v>
                </c:pt>
                <c:pt idx="14">
                  <c:v>Norsko</c:v>
                </c:pt>
                <c:pt idx="15">
                  <c:v>Nizozemsko</c:v>
                </c:pt>
                <c:pt idx="16">
                  <c:v>Německo</c:v>
                </c:pt>
                <c:pt idx="17">
                  <c:v>Maďarsko</c:v>
                </c:pt>
                <c:pt idx="18">
                  <c:v>Lucembursko</c:v>
                </c:pt>
                <c:pt idx="19">
                  <c:v>Lotyšsko</c:v>
                </c:pt>
                <c:pt idx="20">
                  <c:v>Litva</c:v>
                </c:pt>
                <c:pt idx="21">
                  <c:v>Korea</c:v>
                </c:pt>
                <c:pt idx="22">
                  <c:v>Kolumbie</c:v>
                </c:pt>
                <c:pt idx="23">
                  <c:v>Kanada</c:v>
                </c:pt>
                <c:pt idx="24">
                  <c:v>Japonsko</c:v>
                </c:pt>
                <c:pt idx="25">
                  <c:v>Izrael</c:v>
                </c:pt>
                <c:pt idx="26">
                  <c:v>Itálie</c:v>
                </c:pt>
                <c:pt idx="27">
                  <c:v>Island</c:v>
                </c:pt>
                <c:pt idx="28">
                  <c:v>Irsko</c:v>
                </c:pt>
                <c:pt idx="29">
                  <c:v>Francie</c:v>
                </c:pt>
                <c:pt idx="30">
                  <c:v>Finsko</c:v>
                </c:pt>
                <c:pt idx="31">
                  <c:v>Estonsko</c:v>
                </c:pt>
                <c:pt idx="32">
                  <c:v>Dánsko</c:v>
                </c:pt>
                <c:pt idx="33">
                  <c:v>Česká republika</c:v>
                </c:pt>
                <c:pt idx="34">
                  <c:v>Belgie</c:v>
                </c:pt>
                <c:pt idx="35">
                  <c:v>Austrálie</c:v>
                </c:pt>
              </c:strCache>
            </c:strRef>
          </c:cat>
          <c:val>
            <c:numRef>
              <c:f>'Graf zemí'!$B$2:$B$37</c:f>
              <c:numCache>
                <c:formatCode>d\.m\.;@</c:formatCode>
                <c:ptCount val="36"/>
                <c:pt idx="0">
                  <c:v>43989</c:v>
                </c:pt>
                <c:pt idx="1">
                  <c:v>44011</c:v>
                </c:pt>
                <c:pt idx="2">
                  <c:v>43993</c:v>
                </c:pt>
                <c:pt idx="3">
                  <c:v>43958</c:v>
                </c:pt>
                <c:pt idx="4">
                  <c:v>44013</c:v>
                </c:pt>
                <c:pt idx="5">
                  <c:v>44004</c:v>
                </c:pt>
                <c:pt idx="6">
                  <c:v>43980</c:v>
                </c:pt>
                <c:pt idx="7">
                  <c:v>44012</c:v>
                </c:pt>
                <c:pt idx="8">
                  <c:v>43992</c:v>
                </c:pt>
                <c:pt idx="9">
                  <c:v>44019</c:v>
                </c:pt>
                <c:pt idx="10">
                  <c:v>44015</c:v>
                </c:pt>
                <c:pt idx="11">
                  <c:v>44000</c:v>
                </c:pt>
                <c:pt idx="12">
                  <c:v>43995</c:v>
                </c:pt>
                <c:pt idx="13">
                  <c:v>43976</c:v>
                </c:pt>
                <c:pt idx="14">
                  <c:v>44005</c:v>
                </c:pt>
                <c:pt idx="15">
                  <c:v>43995</c:v>
                </c:pt>
                <c:pt idx="16">
                  <c:v>44003</c:v>
                </c:pt>
                <c:pt idx="17">
                  <c:v>44007</c:v>
                </c:pt>
                <c:pt idx="18">
                  <c:v>43988</c:v>
                </c:pt>
                <c:pt idx="19">
                  <c:v>43985</c:v>
                </c:pt>
                <c:pt idx="20">
                  <c:v>43977</c:v>
                </c:pt>
                <c:pt idx="21">
                  <c:v>43970</c:v>
                </c:pt>
                <c:pt idx="22">
                  <c:v>43999</c:v>
                </c:pt>
                <c:pt idx="23">
                  <c:v>43985</c:v>
                </c:pt>
                <c:pt idx="24">
                  <c:v>43990</c:v>
                </c:pt>
                <c:pt idx="25">
                  <c:v>43981</c:v>
                </c:pt>
                <c:pt idx="26">
                  <c:v>44021</c:v>
                </c:pt>
                <c:pt idx="27">
                  <c:v>44013</c:v>
                </c:pt>
                <c:pt idx="28">
                  <c:v>43915</c:v>
                </c:pt>
                <c:pt idx="29">
                  <c:v>44038</c:v>
                </c:pt>
                <c:pt idx="30">
                  <c:v>44029</c:v>
                </c:pt>
                <c:pt idx="31">
                  <c:v>43981</c:v>
                </c:pt>
                <c:pt idx="32">
                  <c:v>44020</c:v>
                </c:pt>
                <c:pt idx="33">
                  <c:v>43999</c:v>
                </c:pt>
                <c:pt idx="34">
                  <c:v>44031</c:v>
                </c:pt>
                <c:pt idx="35">
                  <c:v>43976</c:v>
                </c:pt>
              </c:numCache>
            </c:numRef>
          </c:val>
          <c:extLst>
            <c:ext xmlns:c16="http://schemas.microsoft.com/office/drawing/2014/chart" uri="{C3380CC4-5D6E-409C-BE32-E72D297353CC}">
              <c16:uniqueId val="{00000027-2A0B-495E-BD1F-815BAE6BD0DE}"/>
            </c:ext>
          </c:extLst>
        </c:ser>
        <c:ser>
          <c:idx val="1"/>
          <c:order val="1"/>
          <c:tx>
            <c:strRef>
              <c:f>'Graf zemí'!$C$1</c:f>
              <c:strCache>
                <c:ptCount val="1"/>
                <c:pt idx="0">
                  <c:v>2021</c:v>
                </c:pt>
              </c:strCache>
            </c:strRef>
          </c:tx>
          <c:spPr>
            <a:solidFill>
              <a:schemeClr val="accent2"/>
            </a:solidFill>
            <a:ln>
              <a:noFill/>
            </a:ln>
            <a:effectLst/>
          </c:spPr>
          <c:invertIfNegative val="0"/>
          <c:dLbls>
            <c:dLbl>
              <c:idx val="1"/>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2A0B-495E-BD1F-815BAE6BD0DE}"/>
                </c:ext>
              </c:extLst>
            </c:dLbl>
            <c:dLbl>
              <c:idx val="3"/>
              <c:layout>
                <c:manualLayout>
                  <c:x val="9.8473541110197877E-17"/>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2A0B-495E-BD1F-815BAE6BD0DE}"/>
                </c:ext>
              </c:extLst>
            </c:dLbl>
            <c:dLbl>
              <c:idx val="5"/>
              <c:layout>
                <c:manualLayout>
                  <c:x val="0"/>
                  <c:y val="-2.8181603138233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2A0B-495E-BD1F-815BAE6BD0DE}"/>
                </c:ext>
              </c:extLst>
            </c:dLbl>
            <c:dLbl>
              <c:idx val="8"/>
              <c:layout>
                <c:manualLayout>
                  <c:x val="-5.3713461100880645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2A0B-495E-BD1F-815BAE6BD0DE}"/>
                </c:ext>
              </c:extLst>
            </c:dLbl>
            <c:dLbl>
              <c:idx val="9"/>
              <c:layout>
                <c:manualLayout>
                  <c:x val="-8.0570191651321947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2A0B-495E-BD1F-815BAE6BD0DE}"/>
                </c:ext>
              </c:extLst>
            </c:dLbl>
            <c:dLbl>
              <c:idx val="10"/>
              <c:layout>
                <c:manualLayout>
                  <c:x val="-1.0742692220176129E-2"/>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2A0B-495E-BD1F-815BAE6BD0DE}"/>
                </c:ext>
              </c:extLst>
            </c:dLbl>
            <c:dLbl>
              <c:idx val="12"/>
              <c:layout>
                <c:manualLayout>
                  <c:x val="-8.0570191651320976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2A0B-495E-BD1F-815BAE6BD0DE}"/>
                </c:ext>
              </c:extLst>
            </c:dLbl>
            <c:dLbl>
              <c:idx val="15"/>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2A0B-495E-BD1F-815BAE6BD0DE}"/>
                </c:ext>
              </c:extLst>
            </c:dLbl>
            <c:dLbl>
              <c:idx val="16"/>
              <c:layout>
                <c:manualLayout>
                  <c:x val="-1.0742692220176228E-2"/>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2A0B-495E-BD1F-815BAE6BD0DE}"/>
                </c:ext>
              </c:extLst>
            </c:dLbl>
            <c:dLbl>
              <c:idx val="19"/>
              <c:layout>
                <c:manualLayout>
                  <c:x val="-8.0570191651320976E-3"/>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2A0B-495E-BD1F-815BAE6BD0DE}"/>
                </c:ext>
              </c:extLst>
            </c:dLbl>
            <c:dLbl>
              <c:idx val="20"/>
              <c:layout>
                <c:manualLayout>
                  <c:x val="-5.3713461100880645E-3"/>
                  <c:y val="-5.63632062764651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2A0B-495E-BD1F-815BAE6BD0DE}"/>
                </c:ext>
              </c:extLst>
            </c:dLbl>
            <c:dLbl>
              <c:idx val="21"/>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2A0B-495E-BD1F-815BAE6BD0DE}"/>
                </c:ext>
              </c:extLst>
            </c:dLbl>
            <c:dLbl>
              <c:idx val="26"/>
              <c:layout>
                <c:manualLayout>
                  <c:x val="-5.3713461100880645E-3"/>
                  <c:y val="-2.81816031382328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2A0B-495E-BD1F-815BAE6BD0DE}"/>
                </c:ext>
              </c:extLst>
            </c:dLbl>
            <c:dLbl>
              <c:idx val="27"/>
              <c:layout>
                <c:manualLayout>
                  <c:x val="-8.0570191651320976E-3"/>
                  <c:y val="-5.63632062764651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2A0B-495E-BD1F-815BAE6BD0DE}"/>
                </c:ext>
              </c:extLst>
            </c:dLbl>
            <c:dLbl>
              <c:idx val="28"/>
              <c:layout>
                <c:manualLayout>
                  <c:x val="-8.0570191651320976E-3"/>
                  <c:y val="-4.22724047073487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2A0B-495E-BD1F-815BAE6BD0DE}"/>
                </c:ext>
              </c:extLst>
            </c:dLbl>
            <c:dLbl>
              <c:idx val="30"/>
              <c:layout>
                <c:manualLayout>
                  <c:x val="-5.3713461100881633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2A0B-495E-BD1F-815BAE6BD0DE}"/>
                </c:ext>
              </c:extLst>
            </c:dLbl>
            <c:dLbl>
              <c:idx val="32"/>
              <c:layout>
                <c:manualLayout>
                  <c:x val="-2.6856730550441307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2A0B-495E-BD1F-815BAE6BD0DE}"/>
                </c:ext>
              </c:extLst>
            </c:dLbl>
            <c:dLbl>
              <c:idx val="33"/>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2A0B-495E-BD1F-815BAE6BD0D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Sans" panose="020B0503020203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zemí'!$A$2:$A$37</c:f>
              <c:strCache>
                <c:ptCount val="36"/>
                <c:pt idx="0">
                  <c:v>Průměr OECD</c:v>
                </c:pt>
                <c:pt idx="1">
                  <c:v>Eurozóna</c:v>
                </c:pt>
                <c:pt idx="2">
                  <c:v>Velká Británie</c:v>
                </c:pt>
                <c:pt idx="3">
                  <c:v>Švýcarsko</c:v>
                </c:pt>
                <c:pt idx="4">
                  <c:v>Švédsko</c:v>
                </c:pt>
                <c:pt idx="5">
                  <c:v>Španělsko</c:v>
                </c:pt>
                <c:pt idx="6">
                  <c:v>Spojené státy</c:v>
                </c:pt>
                <c:pt idx="7">
                  <c:v>Slovinsko</c:v>
                </c:pt>
                <c:pt idx="8">
                  <c:v>Slovensko</c:v>
                </c:pt>
                <c:pt idx="9">
                  <c:v>Řecko</c:v>
                </c:pt>
                <c:pt idx="10">
                  <c:v>Rakousko</c:v>
                </c:pt>
                <c:pt idx="11">
                  <c:v>Portugalsko</c:v>
                </c:pt>
                <c:pt idx="12">
                  <c:v>Polsko</c:v>
                </c:pt>
                <c:pt idx="13">
                  <c:v>Nový Zéland</c:v>
                </c:pt>
                <c:pt idx="14">
                  <c:v>Norsko</c:v>
                </c:pt>
                <c:pt idx="15">
                  <c:v>Nizozemsko</c:v>
                </c:pt>
                <c:pt idx="16">
                  <c:v>Německo</c:v>
                </c:pt>
                <c:pt idx="17">
                  <c:v>Maďarsko</c:v>
                </c:pt>
                <c:pt idx="18">
                  <c:v>Lucembursko</c:v>
                </c:pt>
                <c:pt idx="19">
                  <c:v>Lotyšsko</c:v>
                </c:pt>
                <c:pt idx="20">
                  <c:v>Litva</c:v>
                </c:pt>
                <c:pt idx="21">
                  <c:v>Korea</c:v>
                </c:pt>
                <c:pt idx="22">
                  <c:v>Kolumbie</c:v>
                </c:pt>
                <c:pt idx="23">
                  <c:v>Kanada</c:v>
                </c:pt>
                <c:pt idx="24">
                  <c:v>Japonsko</c:v>
                </c:pt>
                <c:pt idx="25">
                  <c:v>Izrael</c:v>
                </c:pt>
                <c:pt idx="26">
                  <c:v>Itálie</c:v>
                </c:pt>
                <c:pt idx="27">
                  <c:v>Island</c:v>
                </c:pt>
                <c:pt idx="28">
                  <c:v>Irsko</c:v>
                </c:pt>
                <c:pt idx="29">
                  <c:v>Francie</c:v>
                </c:pt>
                <c:pt idx="30">
                  <c:v>Finsko</c:v>
                </c:pt>
                <c:pt idx="31">
                  <c:v>Estonsko</c:v>
                </c:pt>
                <c:pt idx="32">
                  <c:v>Dánsko</c:v>
                </c:pt>
                <c:pt idx="33">
                  <c:v>Česká republika</c:v>
                </c:pt>
                <c:pt idx="34">
                  <c:v>Belgie</c:v>
                </c:pt>
                <c:pt idx="35">
                  <c:v>Austrálie</c:v>
                </c:pt>
              </c:strCache>
            </c:strRef>
          </c:cat>
          <c:val>
            <c:numRef>
              <c:f>'Graf zemí'!$C$2:$C$37</c:f>
              <c:numCache>
                <c:formatCode>d\.m\.;@</c:formatCode>
                <c:ptCount val="36"/>
                <c:pt idx="0">
                  <c:v>44005</c:v>
                </c:pt>
                <c:pt idx="1">
                  <c:v>44026</c:v>
                </c:pt>
                <c:pt idx="2">
                  <c:v>44010</c:v>
                </c:pt>
                <c:pt idx="3">
                  <c:v>43964</c:v>
                </c:pt>
                <c:pt idx="4">
                  <c:v>44023</c:v>
                </c:pt>
                <c:pt idx="5">
                  <c:v>44015</c:v>
                </c:pt>
                <c:pt idx="6">
                  <c:v>44006</c:v>
                </c:pt>
                <c:pt idx="7">
                  <c:v>44030</c:v>
                </c:pt>
                <c:pt idx="8">
                  <c:v>44004</c:v>
                </c:pt>
                <c:pt idx="9">
                  <c:v>44053</c:v>
                </c:pt>
                <c:pt idx="10">
                  <c:v>44037</c:v>
                </c:pt>
                <c:pt idx="11">
                  <c:v>44005</c:v>
                </c:pt>
                <c:pt idx="12">
                  <c:v>44007</c:v>
                </c:pt>
                <c:pt idx="13">
                  <c:v>43978</c:v>
                </c:pt>
                <c:pt idx="14">
                  <c:v>44022</c:v>
                </c:pt>
                <c:pt idx="15">
                  <c:v>44008</c:v>
                </c:pt>
                <c:pt idx="16">
                  <c:v>44017</c:v>
                </c:pt>
                <c:pt idx="17">
                  <c:v>44022</c:v>
                </c:pt>
                <c:pt idx="18">
                  <c:v>43999</c:v>
                </c:pt>
                <c:pt idx="19">
                  <c:v>43997</c:v>
                </c:pt>
                <c:pt idx="20">
                  <c:v>43992</c:v>
                </c:pt>
                <c:pt idx="21">
                  <c:v>43969</c:v>
                </c:pt>
                <c:pt idx="22">
                  <c:v>44009</c:v>
                </c:pt>
                <c:pt idx="23">
                  <c:v>44000</c:v>
                </c:pt>
                <c:pt idx="24">
                  <c:v>43987</c:v>
                </c:pt>
                <c:pt idx="25">
                  <c:v>43986</c:v>
                </c:pt>
                <c:pt idx="26">
                  <c:v>44044</c:v>
                </c:pt>
                <c:pt idx="27">
                  <c:v>44020</c:v>
                </c:pt>
                <c:pt idx="28">
                  <c:v>43933</c:v>
                </c:pt>
                <c:pt idx="29">
                  <c:v>44053</c:v>
                </c:pt>
                <c:pt idx="30">
                  <c:v>44036</c:v>
                </c:pt>
                <c:pt idx="31">
                  <c:v>43998</c:v>
                </c:pt>
                <c:pt idx="32">
                  <c:v>44029</c:v>
                </c:pt>
                <c:pt idx="33">
                  <c:v>44007</c:v>
                </c:pt>
                <c:pt idx="34">
                  <c:v>44043</c:v>
                </c:pt>
                <c:pt idx="35">
                  <c:v>43978</c:v>
                </c:pt>
              </c:numCache>
            </c:numRef>
          </c:val>
          <c:extLst>
            <c:ext xmlns:c16="http://schemas.microsoft.com/office/drawing/2014/chart" uri="{C3380CC4-5D6E-409C-BE32-E72D297353CC}">
              <c16:uniqueId val="{0000003A-2A0B-495E-BD1F-815BAE6BD0DE}"/>
            </c:ext>
          </c:extLst>
        </c:ser>
        <c:dLbls>
          <c:dLblPos val="outEnd"/>
          <c:showLegendKey val="0"/>
          <c:showVal val="1"/>
          <c:showCatName val="0"/>
          <c:showSerName val="0"/>
          <c:showPercent val="0"/>
          <c:showBubbleSize val="0"/>
        </c:dLbls>
        <c:gapWidth val="182"/>
        <c:axId val="450925600"/>
        <c:axId val="450932816"/>
      </c:barChart>
      <c:catAx>
        <c:axId val="450925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crossAx val="450932816"/>
        <c:crosses val="autoZero"/>
        <c:auto val="1"/>
        <c:lblAlgn val="ctr"/>
        <c:lblOffset val="100"/>
        <c:noMultiLvlLbl val="0"/>
      </c:catAx>
      <c:valAx>
        <c:axId val="450932816"/>
        <c:scaling>
          <c:orientation val="minMax"/>
          <c:max val="44070"/>
          <c:min val="43900"/>
        </c:scaling>
        <c:delete val="0"/>
        <c:axPos val="b"/>
        <c:majorGridlines>
          <c:spPr>
            <a:ln w="9525" cap="flat" cmpd="sng" algn="ctr">
              <a:solidFill>
                <a:schemeClr val="tx1">
                  <a:lumMod val="15000"/>
                  <a:lumOff val="85000"/>
                </a:schemeClr>
              </a:solidFill>
              <a:round/>
            </a:ln>
            <a:effectLst/>
          </c:spPr>
        </c:majorGridlines>
        <c:numFmt formatCode="d\.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crossAx val="450925600"/>
        <c:crosses val="autoZero"/>
        <c:crossBetween val="between"/>
      </c:valAx>
      <c:spPr>
        <a:noFill/>
        <a:ln>
          <a:noFill/>
        </a:ln>
        <a:effectLst>
          <a:softEdge rad="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T Sans" panose="020B0503020203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9CA7-DA41-4242-B074-0E8B54C9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634</Words>
  <Characters>3747</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Pánek</dc:creator>
  <cp:lastModifiedBy>Martin Pánek</cp:lastModifiedBy>
  <cp:revision>7</cp:revision>
  <cp:lastPrinted>2022-06-16T10:00:00Z</cp:lastPrinted>
  <dcterms:created xsi:type="dcterms:W3CDTF">2022-06-16T07:26:00Z</dcterms:created>
  <dcterms:modified xsi:type="dcterms:W3CDTF">2022-06-16T13:51:00Z</dcterms:modified>
</cp:coreProperties>
</file>